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jc w:val="center"/>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t>ЗВІТ</w:t>
      </w:r>
    </w:p>
    <w:p>
      <w:pPr>
        <w:pStyle w:val="Normal"/>
        <w:spacing w:lineRule="auto" w:line="240" w:before="0" w:after="0"/>
        <w:ind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Про роботу Управління просторового розвитку та земельних ресурсів</w:t>
      </w:r>
    </w:p>
    <w:p>
      <w:pPr>
        <w:pStyle w:val="Normal"/>
        <w:spacing w:lineRule="auto" w:line="240" w:before="0" w:after="0"/>
        <w:ind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Жовківської міської ради</w:t>
      </w:r>
    </w:p>
    <w:p>
      <w:pPr>
        <w:pStyle w:val="Normal"/>
        <w:spacing w:lineRule="auto" w:line="240" w:before="0" w:after="0"/>
        <w:ind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За період грудень 2023 року по листопад 2024 року</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За період з серпня 2024 року по серпень 2025 року Управлінням просторового розвитку та земельних ресурсів Жовківської міської ради Львівського району Львівської області (далі Управління) виконувались завдання щодо реалізації державної політики у сфері містобудування, архітектури, охорони культурної спадщини, земельних відносин, агропромислового розвитку та іншого використання територій. Організація роботи щодо забезпечення конституційних та законних прав громадян та юридичних осіб на землю на території Жовківської міської територіальної громади, А також вирішення інших питань, які визначені законом та виконання яких передбачено Положенням про Управління просторового розвитку та земельних ресурсів.</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val="ru-RU" w:eastAsia="ru-RU"/>
        </w:rPr>
      </w:pPr>
      <w:r>
        <w:rPr>
          <w:rFonts w:eastAsia="Times New Roman" w:cs="Times New Roman" w:ascii="Times New Roman" w:hAnsi="Times New Roman"/>
          <w:color w:val="000000" w:themeColor="text1"/>
          <w:sz w:val="28"/>
          <w:szCs w:val="28"/>
          <w:lang w:val="ru-RU"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Управління, як уповноважений орган містобудування та архітектури підключено до Єдиної державної електронної системи у сфері будівництва, що дає змогу формування містобудівних умов та обмежень, будівельних паспортів та рішень про присвоєння адреси у реєстрі будівельної діяльності та  Проводилась постійна робота по наповненню Єдиного державного порталу відкритих даних з питань архітектури та містобудування (будівельні паспорти забудови земельних ділянок, містобудівні умови та обмеження, адресний реєстр, затверджених детальних планів територій).</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 виконання вимог Закону України «Про національну інфраструктуру геопросторових даних»  Управлінням проводиться наповнення порталу набором геопросторових даних Жовківської територіальної громади, що визначені законом.</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Додатково у  зв’язку із розробкою Мінрегіоном версії Адресного реєстру, в якому напрацьовується спеціальний функціонал програми Єдиної державної електронної системи у сфері будівництва, працівниками відділу архітектури та містобудування проводяться робота по завантаженню локальних даних та верифікації усіх вулиць та номерів будинків Жовківської міської територіальної громади.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color w:val="000000" w:themeColor="text1"/>
          <w:sz w:val="28"/>
          <w:szCs w:val="28"/>
        </w:rPr>
        <w:t xml:space="preserve">Також відділ архітектури, містобудування та культурної спадщини працює над реалізацію Національної стратегії зі створення безбар'єрного простору в Україні, а також розроблено то частково реалізовано </w:t>
      </w:r>
      <w:r>
        <w:rPr>
          <w:rFonts w:eastAsia="Times New Roman" w:cs="Times New Roman" w:ascii="Times New Roman" w:hAnsi="Times New Roman"/>
          <w:color w:val="000000" w:themeColor="text1"/>
          <w:sz w:val="28"/>
          <w:szCs w:val="28"/>
          <w:lang w:eastAsia="ru-RU"/>
        </w:rPr>
        <w:t>створення безбар</w:t>
      </w:r>
      <w:r>
        <w:rPr>
          <w:rFonts w:eastAsia="Times New Roman" w:cs="Times New Roman" w:ascii="Times New Roman" w:hAnsi="Times New Roman"/>
          <w:color w:val="000000" w:themeColor="text1"/>
          <w:sz w:val="28"/>
          <w:szCs w:val="28"/>
          <w:lang w:val="ru-RU" w:eastAsia="ru-RU"/>
        </w:rPr>
        <w:t>’</w:t>
      </w:r>
      <w:r>
        <w:rPr>
          <w:rFonts w:eastAsia="Times New Roman" w:cs="Times New Roman" w:ascii="Times New Roman" w:hAnsi="Times New Roman"/>
          <w:color w:val="000000" w:themeColor="text1"/>
          <w:sz w:val="28"/>
          <w:szCs w:val="28"/>
          <w:lang w:eastAsia="ru-RU"/>
        </w:rPr>
        <w:t>єрного маршруту у м. Жовква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Ведуться напрацювання по внесенню змін в генеральний план м. Жовква який затверджено в 1997 році, а також ведеться робота щодо розроблення комплексної схеми Жовківської громади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Разом з тим, відділом земельних ресурсів здійснюється реалізація державної політики у сфері регулювання земельних відносин земель комунальної власності у межах повноважень органів місцевого самоврядування та ефективного управління землями комунальної власності територіальних громад, що увійшли до складу Жовківської територіальної громади.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За звітний період Управлінням було опрацьовано 648  звернень, по яких були надані наступні адміністративні послуги: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Видача будівельного паспорту забудови земельної ділянки - 7</w:t>
      </w:r>
    </w:p>
    <w:p>
      <w:pPr>
        <w:pStyle w:val="Normal"/>
        <w:spacing w:before="0" w:after="0"/>
        <w:rPr>
          <w:rFonts w:ascii="Times New Roman" w:hAnsi="Times New Roman" w:cs="Times New Roman"/>
          <w:sz w:val="28"/>
          <w:szCs w:val="28"/>
          <w:shd w:fill="FFFFFF" w:val="clear"/>
        </w:rPr>
      </w:pPr>
      <w:r>
        <w:rPr>
          <w:rFonts w:cs="Times New Roman" w:ascii="Times New Roman" w:hAnsi="Times New Roman"/>
          <w:sz w:val="28"/>
          <w:szCs w:val="28"/>
          <w:shd w:fill="FFFFFF" w:val="clear"/>
        </w:rPr>
        <w:t>Видача дозволу на розроблення проекту землеустрою щодо відведення земельної ділянки у межах безоплатної приватизації - 0</w:t>
      </w:r>
    </w:p>
    <w:p>
      <w:pPr>
        <w:pStyle w:val="Normal"/>
        <w:spacing w:before="0" w:after="0"/>
        <w:rPr>
          <w:rFonts w:ascii="Times New Roman" w:hAnsi="Times New Roman" w:cs="Times New Roman"/>
          <w:sz w:val="28"/>
          <w:szCs w:val="28"/>
          <w:shd w:fill="FFFFFF" w:val="clear"/>
        </w:rPr>
      </w:pPr>
      <w:r>
        <w:rPr>
          <w:rFonts w:cs="Times New Roman" w:ascii="Times New Roman" w:hAnsi="Times New Roman"/>
          <w:sz w:val="28"/>
          <w:szCs w:val="28"/>
          <w:shd w:fill="FFFFFF" w:val="clear"/>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 - 9</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Відкликання документів за заявою заявника - 11</w:t>
      </w:r>
    </w:p>
    <w:p>
      <w:pPr>
        <w:pStyle w:val="Normal"/>
        <w:spacing w:before="0" w:after="0"/>
        <w:rPr>
          <w:rFonts w:ascii="Times New Roman" w:hAnsi="Times New Roman" w:cs="Times New Roman"/>
          <w:sz w:val="28"/>
          <w:szCs w:val="28"/>
          <w:shd w:fill="FFFFFF" w:val="clear"/>
        </w:rPr>
      </w:pPr>
      <w:r>
        <w:rPr>
          <w:rFonts w:cs="Times New Roman" w:ascii="Times New Roman" w:hAnsi="Times New Roman"/>
          <w:sz w:val="28"/>
          <w:szCs w:val="28"/>
          <w:shd w:fill="FFFFFF" w:val="clear"/>
        </w:rPr>
        <w:t>Встановлення обмеженого платного або безоплатного користування чужою земельною ділянкою (сервітуту) - 0</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Затвердження детального плану територій - 8</w:t>
      </w:r>
    </w:p>
    <w:p>
      <w:pPr>
        <w:pStyle w:val="Normal"/>
        <w:spacing w:before="0" w:after="0"/>
        <w:rPr>
          <w:rFonts w:ascii="Times New Roman" w:hAnsi="Times New Roman" w:cs="Times New Roman"/>
          <w:sz w:val="28"/>
          <w:szCs w:val="28"/>
          <w:shd w:fill="FFFFFF" w:val="clear"/>
        </w:rPr>
      </w:pPr>
      <w:r>
        <w:rPr>
          <w:rFonts w:cs="Times New Roman" w:ascii="Times New Roman" w:hAnsi="Times New Roman"/>
          <w:sz w:val="28"/>
          <w:szCs w:val="28"/>
          <w:shd w:fill="FFFFFF" w:val="clear"/>
        </w:rPr>
        <w:t>Затвердження проекту землеустрою щодо відведення земельної ділянки -  11</w:t>
      </w:r>
    </w:p>
    <w:p>
      <w:pPr>
        <w:pStyle w:val="Normal"/>
        <w:spacing w:before="0" w:after="0"/>
        <w:rPr>
          <w:rFonts w:ascii="Times New Roman" w:hAnsi="Times New Roman" w:cs="Times New Roman"/>
          <w:sz w:val="28"/>
          <w:szCs w:val="28"/>
          <w:shd w:fill="FFFFFF" w:val="clear"/>
        </w:rPr>
      </w:pPr>
      <w:r>
        <w:rPr>
          <w:rFonts w:cs="Times New Roman" w:ascii="Times New Roman" w:hAnsi="Times New Roman"/>
          <w:sz w:val="28"/>
          <w:szCs w:val="28"/>
          <w:shd w:fill="FFFFFF" w:val="clear"/>
        </w:rPr>
        <w:t>Затвердження проекту землеустрою щодо відведення земельної ділянки у разі зміни її цільового призначення - 6</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Затвердження технічної документації з нормативної грошової оцінки земельної ділянки у межах населених пунктів - 0</w:t>
      </w:r>
    </w:p>
    <w:p>
      <w:pPr>
        <w:pStyle w:val="Normal"/>
        <w:spacing w:before="0" w:after="0"/>
        <w:rPr>
          <w:rFonts w:ascii="Times New Roman" w:hAnsi="Times New Roman" w:cs="Times New Roman"/>
          <w:sz w:val="28"/>
          <w:szCs w:val="28"/>
          <w:shd w:fill="FFFFFF" w:val="clear"/>
        </w:rPr>
      </w:pPr>
      <w:r>
        <w:rPr>
          <w:rFonts w:cs="Times New Roman" w:ascii="Times New Roman" w:hAnsi="Times New Roman"/>
          <w:sz w:val="28"/>
          <w:szCs w:val="28"/>
          <w:shd w:fill="FFFFFF" w:val="clear"/>
        </w:rPr>
        <w:t>Затвердження технічної документації із землеустрою щодо встановлення (відновлення) меж земельної ділянки в натурі (на місцевості) та передача земельної ділянки у власність / надання в користування - 544</w:t>
      </w:r>
    </w:p>
    <w:p>
      <w:pPr>
        <w:pStyle w:val="Normal"/>
        <w:spacing w:before="0" w:after="0"/>
        <w:rPr>
          <w:rFonts w:ascii="Times New Roman" w:hAnsi="Times New Roman" w:cs="Times New Roman"/>
          <w:sz w:val="28"/>
          <w:szCs w:val="28"/>
          <w:shd w:fill="FFFFFF" w:val="clear"/>
        </w:rPr>
      </w:pPr>
      <w:r>
        <w:rPr>
          <w:rFonts w:cs="Times New Roman" w:ascii="Times New Roman" w:hAnsi="Times New Roman"/>
          <w:sz w:val="28"/>
          <w:szCs w:val="28"/>
          <w:shd w:fill="FFFFFF" w:val="clear"/>
        </w:rPr>
        <w:t>Затвердження технічної документації із землеустрою щодо інвентаризації земель - 34</w:t>
      </w:r>
    </w:p>
    <w:p>
      <w:pPr>
        <w:pStyle w:val="Normal"/>
        <w:spacing w:before="0" w:after="0"/>
        <w:rPr>
          <w:rFonts w:ascii="Times New Roman" w:hAnsi="Times New Roman" w:cs="Times New Roman"/>
          <w:sz w:val="28"/>
          <w:szCs w:val="28"/>
          <w:shd w:fill="FFFFFF" w:val="clear"/>
        </w:rPr>
      </w:pPr>
      <w:r>
        <w:rPr>
          <w:rFonts w:cs="Times New Roman" w:ascii="Times New Roman" w:hAnsi="Times New Roman"/>
          <w:sz w:val="28"/>
          <w:szCs w:val="28"/>
          <w:shd w:fill="FFFFFF" w:val="clear"/>
        </w:rPr>
        <w:t>Затвердження технічної документації із землеустрою щодо поділу та обʼєднання земельних ділянок - 7</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Надання витягу з реєстру будівельної діяльності щодо інформації про присвоєння адрес ЄДЕССБ - 58</w:t>
      </w:r>
    </w:p>
    <w:p>
      <w:pPr>
        <w:pStyle w:val="Normal"/>
        <w:spacing w:before="0" w:after="0"/>
        <w:rPr>
          <w:rFonts w:ascii="Times New Roman" w:hAnsi="Times New Roman" w:cs="Times New Roman"/>
          <w:sz w:val="28"/>
          <w:szCs w:val="28"/>
          <w:shd w:fill="FFFFFF" w:val="clear"/>
        </w:rPr>
      </w:pPr>
      <w:r>
        <w:rPr>
          <w:rFonts w:cs="Times New Roman" w:ascii="Times New Roman" w:hAnsi="Times New Roman"/>
          <w:sz w:val="28"/>
          <w:szCs w:val="28"/>
          <w:shd w:fill="FFFFFF" w:val="clear"/>
        </w:rPr>
        <w:t>Надання дозволу на розроблення проекту землеустрою щодо відведення земельної ділянки для послідуючого продажу - 9</w:t>
      </w:r>
    </w:p>
    <w:p>
      <w:pPr>
        <w:pStyle w:val="Normal"/>
        <w:spacing w:before="0" w:after="0"/>
        <w:rPr>
          <w:rFonts w:ascii="Times New Roman" w:hAnsi="Times New Roman" w:cs="Times New Roman"/>
          <w:sz w:val="28"/>
          <w:szCs w:val="28"/>
          <w:shd w:fill="FFFFFF" w:val="clear"/>
        </w:rPr>
      </w:pPr>
      <w:r>
        <w:rPr>
          <w:rFonts w:cs="Times New Roman" w:ascii="Times New Roman" w:hAnsi="Times New Roman"/>
          <w:sz w:val="28"/>
          <w:szCs w:val="28"/>
          <w:shd w:fill="FFFFFF" w:val="clear"/>
        </w:rPr>
        <w:t>Надання дозволу на розроблення проекту землеустрою щодо відведення земельної ділянки у користування - 5</w:t>
      </w:r>
    </w:p>
    <w:p>
      <w:pPr>
        <w:pStyle w:val="Normal"/>
        <w:spacing w:before="0" w:after="0"/>
        <w:rPr>
          <w:rFonts w:ascii="Times New Roman" w:hAnsi="Times New Roman" w:cs="Times New Roman"/>
          <w:sz w:val="28"/>
          <w:szCs w:val="28"/>
          <w:shd w:fill="FFFFFF" w:val="clear"/>
        </w:rPr>
      </w:pPr>
      <w:r>
        <w:rPr>
          <w:rFonts w:cs="Times New Roman" w:ascii="Times New Roman" w:hAnsi="Times New Roman"/>
          <w:sz w:val="28"/>
          <w:szCs w:val="28"/>
          <w:shd w:fill="FFFFFF" w:val="clear"/>
        </w:rPr>
        <w:t>Надання дозволу на розроблення технічної документації із землеустрою щодо встановлення (відновлення) меж земельних ділянок в натурі (на місцевості) - 182</w:t>
      </w:r>
    </w:p>
    <w:p>
      <w:pPr>
        <w:pStyle w:val="Normal"/>
        <w:spacing w:before="0" w:after="0"/>
        <w:rPr>
          <w:rFonts w:ascii="Times New Roman" w:hAnsi="Times New Roman" w:cs="Times New Roman"/>
          <w:sz w:val="28"/>
          <w:szCs w:val="28"/>
          <w:shd w:fill="FFFFFF" w:val="clear"/>
        </w:rPr>
      </w:pPr>
      <w:r>
        <w:rPr>
          <w:rFonts w:cs="Times New Roman" w:ascii="Times New Roman" w:hAnsi="Times New Roman"/>
          <w:sz w:val="28"/>
          <w:szCs w:val="28"/>
          <w:shd w:fill="FFFFFF" w:val="clear"/>
        </w:rPr>
        <w:t>Надання дозволу на розроблення технічної документації із землеустрою щодо інвентаризації земель - 23</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Надання згоди на розроблення детального плану територій - 33</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Надання містобудівних умов та обмежень забудови земельної ділянки - 12</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Прийняття рішення про зміну адреси обʼєкта нерухомого майна - 7</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Прийняття рішення про присвоєння адреси обʼєкту нерухомого майна - 33</w:t>
      </w:r>
    </w:p>
    <w:p>
      <w:pPr>
        <w:pStyle w:val="Normal"/>
        <w:spacing w:before="0" w:after="0"/>
        <w:rPr>
          <w:rFonts w:ascii="Times New Roman" w:hAnsi="Times New Roman" w:cs="Times New Roman"/>
          <w:sz w:val="28"/>
          <w:szCs w:val="28"/>
          <w:shd w:fill="FFFFFF" w:val="clear"/>
        </w:rPr>
      </w:pPr>
      <w:r>
        <w:rPr>
          <w:rFonts w:cs="Times New Roman" w:ascii="Times New Roman" w:hAnsi="Times New Roman"/>
          <w:sz w:val="28"/>
          <w:szCs w:val="28"/>
          <w:shd w:fill="FFFFFF" w:val="clear"/>
        </w:rPr>
        <w:t>Реєстрація пасіки - 2</w:t>
      </w:r>
    </w:p>
    <w:p>
      <w:pPr>
        <w:pStyle w:val="Normal"/>
        <w:spacing w:before="0" w:after="0"/>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Рішення про внесення змін до детального плану територій - 2</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результатами роботи підготовлено та подано на розгляд сесії Жовківської міської ради 1199 проекти рішень, що стосувались 1382 питань опрацьованих Управлінням.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Відділом земельних ресурсів протягом звітного періоду виготовлено документацію по земельних ділянках, що підлягають продажу у власність та Було продано 28 земельних ділянок на загальну суму 21.828.424,5 грн.</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Також відділом земельних ресурсів було розроблено документацію та  передано в оренду 633 земельних ділянок загальною площею 445,53 га на суму 2.061.920,47 грн.</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Здійснюється підготовка більше 20 лотів для продажу права власності та права оренди на земельні ділянки.</w:t>
      </w:r>
    </w:p>
    <w:p>
      <w:pPr>
        <w:pStyle w:val="Normal"/>
        <w:shd w:val="clear" w:color="auto" w:fill="FFFFFF"/>
        <w:spacing w:lineRule="auto" w:line="240" w:before="0" w:after="0"/>
        <w:ind w:firstLine="708"/>
        <w:jc w:val="both"/>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t>З метою наповнення місцевого бюджету та недопущення втрат коштів, що надходять у вигляді земельного податку та орендної плати, проведена робота, пов’язана з оновленням та звірянням списків фізичних та юридичних осіб, що мають у власності чи користуванні земельні ділянки на території Жовківської територіальної громади. Також постійно ведеться робота по приведенню договорів оренди землі у відповідність до вимог чинного законодавства.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Підготовлено  Програму з «Виготовлення облікової документації на об’єкти культурної спадщини, які розташовані на території  Жовківської міської ради, та розроблено на даний час дві документації на пам’ятки архітектури.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Управлінням забезпечувалось інформування та оприлюднення інформації в ЗМІ та на офіційному веб-сайті  міста про участь громадськості у випадках, передбачених чинним законодавством.</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Підготовлено протоколи засідань громадських слухань.</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 запити Львівської ОВА та Львівської РДА надавались звіти  щодо стану забезпечення містобудівною документацією Жовківської міської територіальної громади.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Також протягом зазначеного періоду працівниками окрім службових обов</w:t>
      </w:r>
      <w:r>
        <w:rPr>
          <w:rFonts w:eastAsia="Times New Roman" w:cs="Times New Roman" w:ascii="Times New Roman" w:hAnsi="Times New Roman"/>
          <w:color w:val="000000" w:themeColor="text1"/>
          <w:sz w:val="28"/>
          <w:szCs w:val="28"/>
          <w:lang w:val="ru-RU" w:eastAsia="ru-RU"/>
        </w:rPr>
        <w:t>’</w:t>
      </w:r>
      <w:r>
        <w:rPr>
          <w:rFonts w:eastAsia="Times New Roman" w:cs="Times New Roman" w:ascii="Times New Roman" w:hAnsi="Times New Roman"/>
          <w:color w:val="000000" w:themeColor="text1"/>
          <w:sz w:val="28"/>
          <w:szCs w:val="28"/>
          <w:lang w:eastAsia="ru-RU"/>
        </w:rPr>
        <w:t>язків постійно проводилась наступна робота: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вивчався моніторинг змін у законодавстві;</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участь у роботі адміністративної комісії;</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участь в нарадах та комісіях за дорученням керівництва та профільного заступника міського голови;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участь у тренінгах для уповноважених органів містобудування та архітектури;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здійснювалась підготовка заяв, інформаційних та технологічних карток для роботи Центру надання адміністративних послуг в м. Жовква;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щоденно проводились консультації громадян за усними зверненнями з питань, що відносяться до компетенції Управління.</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За період роботи Управлінням прийнято участь у більшості онлайн-семінарах на тематику містобудування та земельних відносин та у всіх колегіях, які проводило управління містобудування та архітектури обласної військової адміністрації.</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Також періодично проводились в режимі онлайн наради та тренінги по навчанню та ознайомленню з геоінформаційною програмою ArcGIS щодо ведення та наповнення містобудівного кадастру Жовківської міської територіальної громади.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Web"/>
        <w:spacing w:lineRule="atLeast" w:line="300" w:beforeAutospacing="0" w:before="0" w:afterAutospacing="0" w:after="0"/>
        <w:ind w:firstLine="708"/>
        <w:rPr>
          <w:rFonts w:ascii="e-ukraine" w:hAnsi="e-ukraine"/>
          <w:color w:val="000000" w:themeColor="text1"/>
          <w:sz w:val="27"/>
          <w:szCs w:val="27"/>
        </w:rPr>
      </w:pPr>
      <w:r>
        <w:rPr>
          <w:rFonts w:ascii="e-ukraine" w:hAnsi="e-ukraine"/>
          <w:color w:val="000000" w:themeColor="text1"/>
          <w:sz w:val="27"/>
          <w:szCs w:val="27"/>
        </w:rPr>
        <w:t>Спеціалісти Управління:</w:t>
      </w:r>
    </w:p>
    <w:p>
      <w:pPr>
        <w:pStyle w:val="NormalWeb"/>
        <w:spacing w:lineRule="atLeast" w:line="300" w:beforeAutospacing="0" w:before="0" w:afterAutospacing="0" w:after="0"/>
        <w:ind w:firstLine="708"/>
        <w:rPr>
          <w:rFonts w:ascii="e-ukraine" w:hAnsi="e-ukraine"/>
          <w:color w:val="000000" w:themeColor="text1"/>
          <w:sz w:val="27"/>
          <w:szCs w:val="27"/>
        </w:rPr>
      </w:pPr>
      <w:r>
        <w:rPr>
          <w:rFonts w:ascii="e-ukraine" w:hAnsi="e-ukraine"/>
          <w:color w:val="000000" w:themeColor="text1"/>
          <w:sz w:val="27"/>
          <w:szCs w:val="27"/>
        </w:rPr>
        <w:t>- постійно вдосконалюють організацію своєї роботи та підвищують професійну кваліфікацію;</w:t>
      </w:r>
    </w:p>
    <w:p>
      <w:pPr>
        <w:pStyle w:val="NormalWeb"/>
        <w:spacing w:lineRule="atLeast" w:line="300" w:beforeAutospacing="0" w:before="0" w:afterAutospacing="0" w:after="0"/>
        <w:ind w:firstLine="708"/>
        <w:rPr>
          <w:rFonts w:ascii="e-ukraine" w:hAnsi="e-ukraine"/>
          <w:color w:val="000000" w:themeColor="text1"/>
          <w:sz w:val="27"/>
          <w:szCs w:val="27"/>
        </w:rPr>
      </w:pPr>
      <w:r>
        <w:rPr>
          <w:rFonts w:ascii="e-ukraine" w:hAnsi="e-ukraine"/>
          <w:color w:val="000000" w:themeColor="text1"/>
          <w:sz w:val="27"/>
          <w:szCs w:val="27"/>
        </w:rPr>
        <w:t> </w:t>
      </w:r>
      <w:r>
        <w:rPr>
          <w:rFonts w:ascii="e-ukraine" w:hAnsi="e-ukraine"/>
          <w:color w:val="000000" w:themeColor="text1"/>
          <w:sz w:val="27"/>
          <w:szCs w:val="27"/>
        </w:rPr>
        <w:t>- сумлінно ставляться до виконання службових обов’язків та проявляють ініціативність і творчість у роботі.</w:t>
      </w:r>
    </w:p>
    <w:p>
      <w:pPr>
        <w:pStyle w:val="NormalWeb"/>
        <w:spacing w:lineRule="atLeast" w:line="300" w:beforeAutospacing="0" w:before="0" w:afterAutospacing="0" w:after="0"/>
        <w:ind w:firstLine="708"/>
        <w:rPr>
          <w:rFonts w:ascii="e-ukraine" w:hAnsi="e-ukraine"/>
          <w:color w:val="000000" w:themeColor="text1"/>
          <w:sz w:val="27"/>
          <w:szCs w:val="27"/>
        </w:rPr>
      </w:pPr>
      <w:r>
        <w:rPr>
          <w:rFonts w:ascii="e-ukraine" w:hAnsi="e-ukraine"/>
          <w:color w:val="000000" w:themeColor="text1"/>
          <w:sz w:val="27"/>
          <w:szCs w:val="27"/>
        </w:rPr>
      </w:r>
    </w:p>
    <w:p>
      <w:pPr>
        <w:pStyle w:val="NormalWeb"/>
        <w:spacing w:lineRule="atLeast" w:line="300" w:beforeAutospacing="0" w:before="0" w:afterAutospacing="0" w:after="0"/>
        <w:ind w:firstLine="708"/>
        <w:rPr>
          <w:rFonts w:ascii="e-ukraine" w:hAnsi="e-ukraine"/>
          <w:color w:val="000000" w:themeColor="text1"/>
          <w:sz w:val="27"/>
          <w:szCs w:val="27"/>
        </w:rPr>
      </w:pPr>
      <w:r>
        <w:rPr>
          <w:rFonts w:ascii="e-ukraine" w:hAnsi="e-ukraine"/>
          <w:color w:val="000000" w:themeColor="text1"/>
          <w:sz w:val="27"/>
          <w:szCs w:val="27"/>
        </w:rPr>
      </w:r>
    </w:p>
    <w:p>
      <w:pPr>
        <w:pStyle w:val="NormalWeb"/>
        <w:spacing w:lineRule="atLeast" w:line="300" w:beforeAutospacing="0" w:before="0" w:afterAutospacing="0" w:after="0"/>
        <w:rPr>
          <w:b/>
          <w:b/>
          <w:bCs/>
        </w:rPr>
      </w:pPr>
      <w:r>
        <w:rPr>
          <w:b/>
          <w:bCs/>
          <w:color w:val="000000" w:themeColor="text1"/>
          <w:sz w:val="28"/>
          <w:szCs w:val="28"/>
          <w:lang w:eastAsia="ru-RU"/>
        </w:rPr>
        <w:t xml:space="preserve">Начальник Управління просторового </w:t>
      </w:r>
    </w:p>
    <w:p>
      <w:pPr>
        <w:pStyle w:val="NormalWeb"/>
        <w:spacing w:lineRule="atLeast" w:line="300" w:beforeAutospacing="0" w:before="0" w:afterAutospacing="0" w:after="0"/>
        <w:rPr>
          <w:b/>
          <w:b/>
          <w:bCs/>
        </w:rPr>
      </w:pPr>
      <w:r>
        <w:rPr>
          <w:b/>
          <w:bCs/>
          <w:color w:val="000000" w:themeColor="text1"/>
          <w:sz w:val="28"/>
          <w:szCs w:val="28"/>
          <w:lang w:eastAsia="ru-RU"/>
        </w:rPr>
        <w:t>розвитку та земельних ресурсів                          Олександр РИБЧАНСЬКИЙ</w:t>
      </w:r>
    </w:p>
    <w:sectPr>
      <w:type w:val="nextPage"/>
      <w:pgSz w:w="11906" w:h="16838"/>
      <w:pgMar w:left="1417" w:right="850"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e-ukraine">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55e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Покажчик"/>
    <w:basedOn w:val="Normal"/>
    <w:qFormat/>
    <w:pPr>
      <w:suppressLineNumbers/>
    </w:pPr>
    <w:rPr>
      <w:rFonts w:cs="Lucida Sans"/>
    </w:rPr>
  </w:style>
  <w:style w:type="paragraph" w:styleId="NormalWeb">
    <w:name w:val="Normal (Web)"/>
    <w:basedOn w:val="Normal"/>
    <w:uiPriority w:val="99"/>
    <w:unhideWhenUsed/>
    <w:qFormat/>
    <w:rsid w:val="00715f2a"/>
    <w:pPr>
      <w:spacing w:lineRule="auto" w:line="240" w:beforeAutospacing="1" w:afterAutospacing="1"/>
    </w:pPr>
    <w:rPr>
      <w:rFonts w:ascii="Times New Roman" w:hAnsi="Times New Roman" w:eastAsia="Times New Roman" w:cs="Times New Roman"/>
      <w:sz w:val="24"/>
      <w:szCs w:val="24"/>
      <w:lang w:eastAsia="uk-UA"/>
    </w:rPr>
  </w:style>
  <w:style w:type="paragraph" w:styleId="ListParagraph">
    <w:name w:val="List Paragraph"/>
    <w:basedOn w:val="Normal"/>
    <w:uiPriority w:val="34"/>
    <w:qFormat/>
    <w:rsid w:val="00414396"/>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LibreOffice/7.0.0.3$Windows_X86_64 LibreOffice_project/8061b3e9204bef6b321a21033174034a5e2ea88e</Application>
  <Pages>4</Pages>
  <Words>1023</Words>
  <Characters>7054</Characters>
  <CharactersWithSpaces>8056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2025-08-27T14:03:00Z</dcterms:created>
  <dc:creator>Lenovo</dc:creator>
  <dc:description/>
  <dc:language>uk-UA</dc:language>
  <cp:lastModifiedBy/>
  <dcterms:modified xsi:type="dcterms:W3CDTF">2025-08-27T18:10:22Z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