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drawing>
          <wp:inline distT="0" distB="0" distL="0" distR="0">
            <wp:extent cx="638810" cy="819150"/>
            <wp:effectExtent l="0" t="0" r="0" b="0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32" t="-182" r="-232" b="-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36"/>
          <w:szCs w:val="36"/>
          <w:lang w:val="uk-UA"/>
        </w:rPr>
        <w:t>УКРАЇНА</w:t>
      </w:r>
    </w:p>
    <w:p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>Жовківська міська рада</w:t>
      </w:r>
    </w:p>
    <w:p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>Львівського району Львівської області</w:t>
      </w:r>
    </w:p>
    <w:p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32"/>
        </w:rPr>
        <w:t>ВИКОНАВЧИЙ КОМІТЕТ</w:t>
      </w:r>
    </w:p>
    <w:p>
      <w:pPr>
        <w:pStyle w:val="Normal"/>
        <w:tabs>
          <w:tab w:val="clear" w:pos="708"/>
          <w:tab w:val="left" w:pos="3015" w:leader="none"/>
        </w:tabs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32"/>
          <w:szCs w:val="32"/>
          <w:lang w:val="uk-UA"/>
        </w:rPr>
        <w:t>РІШЕННЯ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690" w:leader="none"/>
        </w:tabs>
        <w:spacing w:lineRule="auto" w:line="240" w:before="0" w:after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690" w:leader="none"/>
        </w:tabs>
        <w:spacing w:lineRule="auto" w:line="240" w:before="0" w:after="0"/>
        <w:ind w:lef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від 10.07.2025 року  № </w:t>
      </w:r>
      <w:r>
        <w:rPr>
          <w:rFonts w:cs="Times New Roman" w:ascii="Times New Roman" w:hAnsi="Times New Roman"/>
          <w:sz w:val="28"/>
          <w:szCs w:val="28"/>
          <w:lang w:val="uk-UA"/>
        </w:rPr>
        <w:t>3</w:t>
      </w:r>
      <w:r>
        <w:rPr>
          <w:rFonts w:cs="Times New Roman" w:ascii="Times New Roman" w:hAnsi="Times New Roman"/>
          <w:sz w:val="28"/>
          <w:szCs w:val="28"/>
          <w:lang w:val="uk-UA"/>
        </w:rPr>
        <w:t>9</w:t>
      </w:r>
      <w:r>
        <w:rPr>
          <w:rFonts w:cs="Times New Roman" w:ascii="Times New Roman" w:hAnsi="Times New Roman"/>
          <w:sz w:val="28"/>
          <w:szCs w:val="28"/>
          <w:lang w:val="uk-UA"/>
        </w:rPr>
        <w:tab/>
        <w:tab/>
        <w:t xml:space="preserve">                     м. Жовква</w:t>
      </w:r>
    </w:p>
    <w:p>
      <w:pPr>
        <w:pStyle w:val="Normal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Docdata"/>
        <w:spacing w:beforeAutospacing="0" w:before="0" w:afterAutospacing="0"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затвердження «Плану локалізації та ліквідації наслідків 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випадок розливу забруднюючих речовин з метою 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недопущення забруднення водних об’єктів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території Жовківської міської територіальної громади»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  <w:bookmarkStart w:id="0" w:name="_Hlk203040125"/>
      <w:bookmarkStart w:id="1" w:name="_Hlk203040125"/>
      <w:bookmarkEnd w:id="1"/>
    </w:p>
    <w:p>
      <w:pPr>
        <w:pStyle w:val="Normal"/>
        <w:widowControl/>
        <w:bidi w:val="0"/>
        <w:spacing w:lineRule="auto" w:line="276" w:before="0" w:after="200"/>
        <w:ind w:left="0" w:right="0" w:firstLine="680"/>
        <w:jc w:val="both"/>
        <w:rPr/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З </w:t>
      </w:r>
      <w:r>
        <w:rPr>
          <w:rStyle w:val="5259"/>
          <w:rFonts w:cs="Times New Roman" w:ascii="Times New Roman" w:hAnsi="Times New Roman"/>
          <w:bCs/>
          <w:color w:val="000000"/>
          <w:sz w:val="28"/>
          <w:szCs w:val="28"/>
        </w:rPr>
        <w:t>метою охорони життя і здоров’я громадян, охорони навколишнього прир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одного середовища, охорони водних об’єктів розташованих на території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Жовківської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міської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територіальної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>грома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ди, відповідно до Конституції України, керуючись статтями 10, 47 Водного кодексу України, Законом України «Про аквакультуру», статтею 33, 40 Закону України «Про місцеве самоврядування в Україні», виконавчий комітет 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>Жовківської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міської ради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:</w:t>
      </w:r>
    </w:p>
    <w:p>
      <w:pPr>
        <w:pStyle w:val="Rvps1"/>
        <w:shd w:val="clear" w:color="auto" w:fill="FFFFFF"/>
        <w:spacing w:before="0" w:after="0"/>
        <w:jc w:val="center"/>
        <w:rPr/>
      </w:pPr>
      <w:r>
        <w:rPr>
          <w:rStyle w:val="Rvts7"/>
          <w:rFonts w:ascii="Times New Roman" w:hAnsi="Times New Roman"/>
          <w:b/>
          <w:bCs/>
          <w:caps/>
          <w:color w:val="000000"/>
          <w:sz w:val="28"/>
          <w:szCs w:val="28"/>
          <w:lang w:val="uk-UA"/>
        </w:rPr>
        <w:t>в и р і ш и в 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16"/>
          <w:szCs w:val="16"/>
        </w:rPr>
        <w:t> </w:t>
      </w:r>
    </w:p>
    <w:p>
      <w:pPr>
        <w:pStyle w:val="Docdata"/>
        <w:spacing w:beforeAutospacing="0" w:before="0" w:afterAutospacing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1. Затвердити План локалізації та ліквідації наслідків на випадок розливу забруднюючих речовин з метою недопущення забруднення водних об’єктів</w:t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на території Жовківської міської територіальної громади, що додається.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2. Дане рішення набуває чинності з моменту його опублікування на офіційному сайті Жовківської міської ради.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 Контроль за виконанням даного рішення покласти на заступника міського голови А. Колієвича.</w:t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val="uk-UA" w:bidi="ar-SA"/>
        </w:rPr>
        <w:t>Перший заступник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val="uk-UA" w:bidi="ar-SA"/>
        </w:rPr>
        <w:t>міського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голови</w:t>
        <w:tab/>
        <w:tab/>
        <w:tab/>
        <w:tab/>
        <w:t xml:space="preserve">  </w:t>
        <w:tab/>
        <w:t xml:space="preserve">                </w:t>
        <w:tab/>
        <w:t xml:space="preserve">  </w:t>
      </w: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val="uk-UA" w:bidi="ar-SA"/>
        </w:rPr>
        <w:t>Марія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val="uk-UA" w:bidi="ar-SA"/>
        </w:rPr>
        <w:t>МАЛАЧІВСЬКА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 xml:space="preserve">Додаток до рішення №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39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від 10.07. 2025 р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оку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 xml:space="preserve">            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uk-UA"/>
        </w:rPr>
        <w:t>План локалізації та ліквідації наслідків на випадок розливу забруднюючих речовин з метою недопущення забруднення водних об’єктів на території Жовківської міської територіальної громади.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uk-UA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val="uk-UA" w:eastAsia="uk-UA"/>
        </w:rPr>
        <w:t>1.Оцінка ситуації.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uk-UA"/>
        </w:rPr>
        <w:t>1.1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. Отримання інформації про інцидент (місце, час, обсяг розливу, наявність постраждалих)</w:t>
      </w:r>
    </w:p>
    <w:p>
      <w:pPr>
        <w:pStyle w:val="Normal"/>
        <w:numPr>
          <w:ilvl w:val="0"/>
          <w:numId w:val="2"/>
        </w:numPr>
        <w:spacing w:lineRule="auto" w:line="271" w:before="0" w:after="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Визначити місце розливу: Використовуйте GPS-навігацію, карти або візуальні орієнтири, щоб точно визначити місце розливу.</w:t>
      </w:r>
    </w:p>
    <w:p>
      <w:pPr>
        <w:pStyle w:val="Normal"/>
        <w:numPr>
          <w:ilvl w:val="0"/>
          <w:numId w:val="2"/>
        </w:numPr>
        <w:spacing w:lineRule="auto" w:line="271" w:before="0" w:after="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Викликати на місце інциденту ДСНС, поліцію та інші відповідні служби.</w:t>
      </w:r>
    </w:p>
    <w:p>
      <w:pPr>
        <w:pStyle w:val="Normal"/>
        <w:numPr>
          <w:ilvl w:val="0"/>
          <w:numId w:val="2"/>
        </w:numPr>
        <w:spacing w:lineRule="auto" w:line="271" w:before="0" w:after="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Ідентифікувати невідому речовину: За можливості, візьміть зразки речовини для лабораторного аналізу, щоб визначити її склад та небезпечні властивості. При заборі зразків дотримуватися правил техніки безпеки. Використовувати захисний одяг та обладнання (респіратори, рукавиці, захисні костюми).</w:t>
      </w:r>
    </w:p>
    <w:p>
      <w:pPr>
        <w:pStyle w:val="Normal"/>
        <w:numPr>
          <w:ilvl w:val="0"/>
          <w:numId w:val="2"/>
        </w:numPr>
        <w:spacing w:lineRule="auto" w:line="271" w:before="0" w:after="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Оцінити масштаби розливу: Визначте площу забруднення та об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uk-UA"/>
        </w:rPr>
        <w:t>’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єм вилитої речовини.</w:t>
      </w:r>
    </w:p>
    <w:p>
      <w:pPr>
        <w:pStyle w:val="Normal"/>
        <w:numPr>
          <w:ilvl w:val="0"/>
          <w:numId w:val="2"/>
        </w:numPr>
        <w:spacing w:lineRule="auto" w:line="271" w:before="0" w:after="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Оцінити потенційні ризики: Визначте, які водні об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uk-UA"/>
        </w:rPr>
        <w:t>’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єкти знаходяться в зоні ризику забруднення, а також чи є інші потенційні загрози, такі як житлові райони або промислові об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uk-UA"/>
        </w:rPr>
        <w:t>’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єкти.</w:t>
      </w:r>
    </w:p>
    <w:p>
      <w:pPr>
        <w:pStyle w:val="Normal"/>
        <w:numPr>
          <w:ilvl w:val="0"/>
          <w:numId w:val="2"/>
        </w:numPr>
        <w:spacing w:lineRule="auto" w:line="271" w:before="0" w:after="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Врахувати погодні умови (вітер, дощ, температура), які можуть вплинути на розповсюдження речовини.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uk-UA"/>
        </w:rPr>
        <w:t>1.2.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uk-UA"/>
        </w:rPr>
        <w:t>Встановити  зону безпеки відповідно до типу та обсягу речовини.</w:t>
      </w:r>
    </w:p>
    <w:p>
      <w:pPr>
        <w:pStyle w:val="Normal"/>
        <w:numPr>
          <w:ilvl w:val="0"/>
          <w:numId w:val="3"/>
        </w:numPr>
        <w:spacing w:lineRule="auto" w:line="271" w:before="0" w:after="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 xml:space="preserve">Визначити та встановити зони евакуації навколо місця розливу, з урахуванням властивостей речовини. </w:t>
      </w:r>
    </w:p>
    <w:p>
      <w:pPr>
        <w:pStyle w:val="Normal"/>
        <w:numPr>
          <w:ilvl w:val="0"/>
          <w:numId w:val="3"/>
        </w:numPr>
        <w:spacing w:lineRule="auto" w:line="271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Евакуювати людей з небезпечної зони.</w:t>
      </w:r>
    </w:p>
    <w:p>
      <w:pPr>
        <w:pStyle w:val="Normal"/>
        <w:numPr>
          <w:ilvl w:val="0"/>
          <w:numId w:val="3"/>
        </w:numPr>
        <w:spacing w:lineRule="auto" w:line="271" w:before="0" w:after="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Забезпечення доступу до місця події тільки уповноважених осіб.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uk-UA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val="uk-UA" w:eastAsia="uk-UA"/>
        </w:rPr>
        <w:t>2.Локалізація розливу.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uk-UA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uk-UA"/>
        </w:rPr>
        <w:t>2.1. Створення фізичних бар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en-US" w:eastAsia="uk-UA"/>
        </w:rPr>
        <w:t>’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uk-UA"/>
        </w:rPr>
        <w:t>єрів.</w:t>
      </w:r>
    </w:p>
    <w:p>
      <w:pPr>
        <w:pStyle w:val="Normal"/>
        <w:numPr>
          <w:ilvl w:val="0"/>
          <w:numId w:val="4"/>
        </w:numPr>
        <w:spacing w:lineRule="auto" w:line="271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Викопати канави або створити дамби для запобігання стоку речовини у водні об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uk-UA"/>
        </w:rPr>
        <w:t>’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єкти. </w:t>
      </w:r>
    </w:p>
    <w:p>
      <w:pPr>
        <w:pStyle w:val="Normal"/>
        <w:numPr>
          <w:ilvl w:val="0"/>
          <w:numId w:val="4"/>
        </w:numPr>
        <w:spacing w:lineRule="auto" w:line="271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Використовуйте загороджувальні бони або інші </w:t>
      </w:r>
    </w:p>
    <w:p>
      <w:pPr>
        <w:pStyle w:val="Normal"/>
        <w:numPr>
          <w:ilvl w:val="0"/>
          <w:numId w:val="4"/>
        </w:numPr>
        <w:spacing w:lineRule="auto" w:line="271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ба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uk-UA"/>
        </w:rPr>
        <w:t>’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єри  ( в т. ч земляні насипи обкладені плівкою, мішки з піском щоб запобігти поширенню речовини на грунті та потрапляння у водні об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uk-UA"/>
        </w:rPr>
        <w:t>’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єкти.)  </w:t>
      </w:r>
    </w:p>
    <w:p>
      <w:pPr>
        <w:pStyle w:val="Normal"/>
        <w:numPr>
          <w:ilvl w:val="0"/>
          <w:numId w:val="4"/>
        </w:numPr>
        <w:spacing w:lineRule="auto" w:line="271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Закрити каналізаційні люки та дренажні системи поблизу місця розливу.</w:t>
      </w:r>
    </w:p>
    <w:p>
      <w:pPr>
        <w:pStyle w:val="Normal"/>
        <w:numPr>
          <w:ilvl w:val="0"/>
          <w:numId w:val="4"/>
        </w:numPr>
        <w:spacing w:lineRule="auto" w:line="271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Відвести воду: Якщо можливо, відведіть воду щоб мінімізувати контакт з речовиною.</w:t>
      </w:r>
    </w:p>
    <w:p>
      <w:pPr>
        <w:pStyle w:val="Normal"/>
        <w:spacing w:lineRule="auto" w:line="240" w:before="100" w:after="10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uk-UA"/>
        </w:rPr>
        <w:t>2.2. Використання сорбентів: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Розсипати сорбційні матеріали (наприклад, пісок, глина, торф, спеціальні промислові сорбенти) навколо місця розливу для поглинання рідини.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20" w:leader="none"/>
        </w:tabs>
        <w:spacing w:lineRule="auto" w:line="240" w:before="100" w:after="100"/>
        <w:ind w:left="1440" w:right="-141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Замінювати насичені сорбенти новими для підтримки ефективності.</w:t>
      </w:r>
    </w:p>
    <w:p>
      <w:pPr>
        <w:pStyle w:val="Normal"/>
        <w:spacing w:lineRule="auto" w:line="240" w:before="100" w:after="10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uk-UA"/>
        </w:rPr>
        <w:t>2.3. Використання насосів: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Використовувати насоси для збирання рідких забруднювачів у герметичні контейнери.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Забезпечити герметичність контейнерів для запобігання витіканню речовини.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val="uk-UA" w:eastAsia="uk-UA"/>
        </w:rPr>
        <w:t>3. Ліквідація наслідків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uk-UA"/>
        </w:rPr>
        <w:t>3.1. Збір та нейтралізація речовини</w:t>
      </w:r>
    </w:p>
    <w:p>
      <w:pPr>
        <w:pStyle w:val="Normal"/>
        <w:numPr>
          <w:ilvl w:val="0"/>
          <w:numId w:val="7"/>
        </w:numPr>
        <w:spacing w:lineRule="auto" w:line="271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При потребі, якщо не вдається зібрати невідому речовину, зняти верхній шар ґрунту, який був забруднений, з подальшим його знешкодженням або утилізацією.</w:t>
      </w:r>
    </w:p>
    <w:p>
      <w:pPr>
        <w:pStyle w:val="Normal"/>
        <w:numPr>
          <w:ilvl w:val="0"/>
          <w:numId w:val="7"/>
        </w:numPr>
        <w:spacing w:lineRule="auto" w:line="271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Зібрати розлиту речовину,  використовуючи для цього спеціалізоване  обладнання (насоси, вакуумні установки).</w:t>
      </w:r>
    </w:p>
    <w:p>
      <w:pPr>
        <w:pStyle w:val="Normal"/>
        <w:numPr>
          <w:ilvl w:val="0"/>
          <w:numId w:val="7"/>
        </w:numPr>
        <w:spacing w:lineRule="auto" w:line="271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Помістити зібрану речовину у герметичні контейнери для подальшого знешкодження або утилізації.</w:t>
      </w:r>
    </w:p>
    <w:p>
      <w:pPr>
        <w:pStyle w:val="Normal"/>
        <w:numPr>
          <w:ilvl w:val="0"/>
          <w:numId w:val="7"/>
        </w:numPr>
        <w:spacing w:lineRule="auto" w:line="271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Взяти проби речовини для проведення лабораторного аналізу для  визначення ступеня токсичності, впливу на здоров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uk-UA"/>
        </w:rPr>
        <w:t>’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я людей та навколишнє середовище.</w:t>
      </w:r>
    </w:p>
    <w:p>
      <w:pPr>
        <w:pStyle w:val="Normal"/>
        <w:numPr>
          <w:ilvl w:val="0"/>
          <w:numId w:val="7"/>
        </w:numPr>
        <w:spacing w:lineRule="auto" w:line="271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Організувати безпечне транспортування зібраної речовини до спеціалізованих підприємств для знешкодження або утилізації.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uk-UA"/>
        </w:rPr>
        <w:t>3.2. Проведення очищення території використовуючи для цього необхідні методи очищення, які включають:</w:t>
      </w:r>
    </w:p>
    <w:p>
      <w:pPr>
        <w:pStyle w:val="Normal"/>
        <w:spacing w:lineRule="auto" w:line="240" w:before="100" w:after="10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uk-UA"/>
        </w:rPr>
        <w:t>3.2.1. Хімічне очищення: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Застосувати хімічні реагенти для нейтралізації або осадження речовини (наприклад, вапно для нейтралізації кислот).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Використовувати окислювачі (наприклад, пероксид водню, озон) для перетворення небезпечних речовин у менш токсичні сполуки.</w:t>
      </w:r>
    </w:p>
    <w:p>
      <w:pPr>
        <w:pStyle w:val="Normal"/>
        <w:spacing w:lineRule="auto" w:line="240" w:before="100" w:after="10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uk-UA"/>
        </w:rPr>
        <w:t>3.2.2. Біологічне очищення: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Застосувати біоремедіацію, використовуючи мікроорганізми для розкладу небезпечних речовин до нетоксичних продуктів.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Використовувати фіторемедіацію, висаджуючи рослини, які поглинають та накопичують забруднювачі з ґрунту.</w:t>
      </w:r>
    </w:p>
    <w:p>
      <w:pPr>
        <w:pStyle w:val="Normal"/>
        <w:spacing w:lineRule="auto" w:line="240" w:before="100" w:after="10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uk-UA"/>
        </w:rPr>
        <w:t>3.2.3. Фізико-хімічне очищення: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Використовувати промивання ґрунту лужними розчинами або поверхнево-активними речовинами для вимивання забруднювачів з ґрунту.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Застосовувати термодесорбцію для випаровування летких органічних сполук з ґрунту.</w:t>
      </w:r>
    </w:p>
    <w:p>
      <w:pPr>
        <w:pStyle w:val="Normal"/>
        <w:spacing w:lineRule="auto" w:line="240" w:before="100" w:after="10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uk-UA"/>
        </w:rPr>
        <w:t>Важливо:</w:t>
      </w:r>
    </w:p>
    <w:p>
      <w:pPr>
        <w:pStyle w:val="Normal"/>
        <w:numPr>
          <w:ilvl w:val="0"/>
          <w:numId w:val="11"/>
        </w:numPr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Дотримуватися правил безпеки: Всі роботи з локалізації та ліквідації наслідків розливу небезпечних речовин повинні проводитися з дотриманням правил безпеки та використанням відповідних засобів захисту.</w:t>
      </w:r>
    </w:p>
    <w:p>
      <w:pPr>
        <w:pStyle w:val="Normal"/>
        <w:numPr>
          <w:ilvl w:val="0"/>
          <w:numId w:val="11"/>
        </w:numPr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Залучати фахівців: При необхідності залучати до роботи фахівців з хімії, екології, аварійно-рятувальних служб та інших галузей.</w:t>
      </w:r>
    </w:p>
    <w:p>
      <w:pPr>
        <w:pStyle w:val="Normal"/>
        <w:spacing w:lineRule="auto" w:line="240" w:before="100" w:after="10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uk-UA"/>
        </w:rPr>
        <w:t> </w:t>
      </w:r>
    </w:p>
    <w:p>
      <w:pPr>
        <w:pStyle w:val="Normal"/>
        <w:spacing w:lineRule="auto" w:line="240" w:before="100" w:after="10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val="uk-UA" w:eastAsia="uk-UA"/>
        </w:rPr>
        <w:t>4. Відновлення території</w:t>
      </w:r>
    </w:p>
    <w:p>
      <w:pPr>
        <w:pStyle w:val="Normal"/>
        <w:spacing w:lineRule="auto" w:line="240" w:before="100" w:after="10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uk-UA"/>
        </w:rPr>
        <w:t>4.1. Аналіз ґрунту: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Провести детальний аналіз ґрунту на залишкові концентрації небезпечної речовини.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Визначити рівень забруднення та необхідність додаткових заходів очищення.</w:t>
      </w:r>
    </w:p>
    <w:p>
      <w:pPr>
        <w:pStyle w:val="Normal"/>
        <w:spacing w:lineRule="auto" w:line="240" w:before="100" w:after="10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uk-UA"/>
        </w:rPr>
        <w:t>4.2. Оцінка екосистеми: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Оцінити стан рослинності та тваринного світу на постраждалій території.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Визначити ступінь порушення природного середовища та можливість його відновлення.</w:t>
      </w:r>
    </w:p>
    <w:p>
      <w:pPr>
        <w:pStyle w:val="Normal"/>
        <w:spacing w:lineRule="auto" w:line="240" w:before="100" w:after="10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uk-UA"/>
        </w:rPr>
        <w:t>4.3. Рекультивація ґрунту</w:t>
      </w:r>
    </w:p>
    <w:p>
      <w:pPr>
        <w:pStyle w:val="Normal"/>
        <w:spacing w:lineRule="auto" w:line="240" w:before="100" w:after="10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uk-UA"/>
        </w:rPr>
        <w:t>4.3.1. Механічна обробка: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Розпушити ґрунт для поліпшення його структури та повітрообміну.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Видалити залишки сміття та уламки, що залишилися після ліквідації наслідків розливу.</w:t>
      </w:r>
    </w:p>
    <w:p>
      <w:pPr>
        <w:pStyle w:val="Normal"/>
        <w:spacing w:lineRule="auto" w:line="240" w:before="100" w:after="10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uk-UA"/>
        </w:rPr>
        <w:t>4.3.2. Внесення добрив та поживних речовин: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Внести органічні та мінеральні добрива для відновлення родючості ґрунту.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Додати інші необхідні поживні речовини для підтримки росту рослинності.</w:t>
      </w:r>
    </w:p>
    <w:p>
      <w:pPr>
        <w:pStyle w:val="Normal"/>
        <w:spacing w:lineRule="auto" w:line="240" w:before="100" w:after="10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uk-UA"/>
        </w:rPr>
        <w:t>4.3.3. Заміна ґрунту (при необхідності):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Якщо ґрунт сильно забруднений і не піддається очищенню, провести заміну верхнього шару ґрунту на чистий.</w:t>
      </w:r>
    </w:p>
    <w:p>
      <w:pPr>
        <w:pStyle w:val="Normal"/>
        <w:spacing w:lineRule="auto" w:line="240" w:before="100" w:after="10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uk-UA"/>
        </w:rPr>
        <w:t>4.4. Відновлення рослинного покриву</w:t>
      </w:r>
    </w:p>
    <w:p>
      <w:pPr>
        <w:pStyle w:val="Normal"/>
        <w:spacing w:lineRule="auto" w:line="240" w:before="100" w:after="10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uk-UA"/>
        </w:rPr>
        <w:t>4.4.1. Висадка рослин: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Вибрати відповідні види рослин, що підходять для даної екосистеми та кліматичних умов.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Висадити трави, кущі та дерева для відновлення природного рослинного покриву.</w:t>
      </w:r>
    </w:p>
    <w:p>
      <w:pPr>
        <w:pStyle w:val="Normal"/>
        <w:spacing w:lineRule="auto" w:line="240" w:before="100" w:after="10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uk-UA"/>
        </w:rPr>
        <w:t>4.4.2. Посів трави: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Засіяти траву на ділянках, де немає значних пошкоджень ґрунту.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Використовувати спеціальні трав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uk-UA"/>
        </w:rPr>
        <w:t>’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яні суміші для швидкого відновлення зеленої зони.</w:t>
      </w:r>
    </w:p>
    <w:p>
      <w:pPr>
        <w:pStyle w:val="Normal"/>
        <w:spacing w:lineRule="auto" w:line="240" w:before="100" w:after="10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uk-UA"/>
        </w:rPr>
        <w:t>4.4.3. Моніторинг та догляд за рослинами: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Регулярно поливати та доглядати за висадженими рослинами, забезпечуючи їхнє здорове зростання.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Контролювати стан рослинності та при необхідності проводити додаткові заходи з догляду.</w:t>
      </w:r>
    </w:p>
    <w:p>
      <w:pPr>
        <w:pStyle w:val="Normal"/>
        <w:spacing w:lineRule="auto" w:line="240" w:before="100" w:after="10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val="uk-UA" w:eastAsia="uk-UA"/>
        </w:rPr>
        <w:t>5. Відновлення водних ресурсів</w:t>
      </w:r>
    </w:p>
    <w:p>
      <w:pPr>
        <w:pStyle w:val="Normal"/>
        <w:spacing w:lineRule="auto" w:line="240" w:before="100" w:after="10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uk-UA"/>
        </w:rPr>
        <w:t>5.1. Очищення водойм: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Якщо розлив вплинув на водні об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uk-UA"/>
        </w:rPr>
        <w:t>’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єкти, провести їх очищення за допомогою механічних та хімічних методів.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Застосувати біологічні методи очищення для відновлення екосистеми водойм.</w:t>
      </w:r>
    </w:p>
    <w:p>
      <w:pPr>
        <w:pStyle w:val="Normal"/>
        <w:spacing w:lineRule="auto" w:line="240" w:before="100" w:after="10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uk-UA"/>
        </w:rPr>
        <w:t>5.2. Відновлення водних рослин:</w:t>
      </w:r>
    </w:p>
    <w:p>
      <w:pPr>
        <w:pStyle w:val="Normal"/>
        <w:numPr>
          <w:ilvl w:val="0"/>
          <w:numId w:val="21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Висадити водні рослини для поліпшення якості води та створення сприятливих умов для водної фауни.</w:t>
      </w:r>
    </w:p>
    <w:p>
      <w:pPr>
        <w:pStyle w:val="Normal"/>
        <w:spacing w:lineRule="auto" w:line="240" w:before="100" w:after="10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val="uk-UA" w:eastAsia="uk-UA"/>
        </w:rPr>
        <w:t>6. Контроль та моніторинг</w:t>
      </w:r>
    </w:p>
    <w:p>
      <w:pPr>
        <w:pStyle w:val="Normal"/>
        <w:spacing w:lineRule="auto" w:line="240" w:before="100" w:after="10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uk-UA"/>
        </w:rPr>
        <w:t>6.1. Регулярний моніторинг стану ґрунту та води: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Проводити регулярні дослідження проб ґрунту та води для контролю рівня забруднення.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Використовувати портативні аналізатори та лабораторні методи для оцінки ефективності відновлювальних заходів.</w:t>
      </w:r>
    </w:p>
    <w:p>
      <w:pPr>
        <w:pStyle w:val="Normal"/>
        <w:spacing w:lineRule="auto" w:line="240" w:before="100" w:after="10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uk-UA"/>
        </w:rPr>
        <w:t>6.2. Моніторинг рослинності та тваринного світу: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Регулярно оцінювати стан рослинності та тваринного світу на відновленій території.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Виявляти можливі проблеми та вживати заходів для їх усунення.</w:t>
      </w:r>
    </w:p>
    <w:p>
      <w:pPr>
        <w:pStyle w:val="Normal"/>
        <w:spacing w:lineRule="auto" w:line="240" w:before="100" w:after="10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val="uk-UA" w:eastAsia="uk-UA"/>
        </w:rPr>
        <w:t>7. Інформування та звітність</w:t>
      </w:r>
    </w:p>
    <w:p>
      <w:pPr>
        <w:pStyle w:val="Normal"/>
        <w:spacing w:lineRule="auto" w:line="240" w:before="100" w:after="10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uk-UA"/>
        </w:rPr>
        <w:t>7.1. Інформування громадськості: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Оперативно інформувати місцеве населення про стан відновлення території.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Надати рекомендації щодо безпечного користування відновленою територією.</w:t>
      </w:r>
    </w:p>
    <w:p>
      <w:pPr>
        <w:pStyle w:val="Normal"/>
        <w:spacing w:lineRule="auto" w:line="240" w:before="100" w:after="10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uk-UA"/>
        </w:rPr>
        <w:t>7.2. Підготовка звітів:</w:t>
      </w:r>
    </w:p>
    <w:p>
      <w:pPr>
        <w:pStyle w:val="Normal"/>
        <w:numPr>
          <w:ilvl w:val="0"/>
          <w:numId w:val="25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Підготувати офіційні звіти про виконані заходи з відновлення території.</w:t>
      </w:r>
    </w:p>
    <w:p>
      <w:pPr>
        <w:pStyle w:val="Normal"/>
        <w:numPr>
          <w:ilvl w:val="0"/>
          <w:numId w:val="25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Надати звіти відповідним організаціям.</w:t>
      </w:r>
    </w:p>
    <w:p>
      <w:pPr>
        <w:pStyle w:val="Normal"/>
        <w:spacing w:lineRule="auto" w:line="240" w:before="100" w:after="10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val="uk-UA" w:eastAsia="uk-UA"/>
        </w:rPr>
        <w:t>8. Довгострокові заходи</w:t>
      </w:r>
    </w:p>
    <w:p>
      <w:pPr>
        <w:pStyle w:val="Normal"/>
        <w:spacing w:lineRule="auto" w:line="240" w:before="100" w:after="10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uk-UA"/>
        </w:rPr>
        <w:t>8.1. Планування майбутнього використання території:</w:t>
      </w:r>
    </w:p>
    <w:p>
      <w:pPr>
        <w:pStyle w:val="Normal"/>
        <w:numPr>
          <w:ilvl w:val="0"/>
          <w:numId w:val="26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Розробити план майбутнього використання відновленої території з урахуванням її екологічного стану.</w:t>
      </w:r>
    </w:p>
    <w:p>
      <w:pPr>
        <w:pStyle w:val="Normal"/>
        <w:numPr>
          <w:ilvl w:val="0"/>
          <w:numId w:val="26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Визначити можливі обмеження на використання території для збереження її екосистеми.</w:t>
      </w:r>
    </w:p>
    <w:p>
      <w:pPr>
        <w:pStyle w:val="Normal"/>
        <w:spacing w:lineRule="auto" w:line="240" w:before="100" w:after="10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uk-UA"/>
        </w:rPr>
        <w:t>8.2. Створення системи раннього попередження:</w:t>
      </w:r>
    </w:p>
    <w:p>
      <w:pPr>
        <w:pStyle w:val="Normal"/>
        <w:numPr>
          <w:ilvl w:val="0"/>
          <w:numId w:val="27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Впровадити систему раннього попередження для виявлення можливих майбутніх загроз забруднення.</w:t>
      </w:r>
    </w:p>
    <w:p>
      <w:pPr>
        <w:pStyle w:val="Normal"/>
        <w:numPr>
          <w:ilvl w:val="0"/>
          <w:numId w:val="27"/>
        </w:numPr>
        <w:tabs>
          <w:tab w:val="clear" w:pos="708"/>
          <w:tab w:val="left" w:pos="720" w:leader="none"/>
        </w:tabs>
        <w:spacing w:lineRule="auto" w:line="240" w:before="100" w:after="100"/>
        <w:ind w:left="1440" w:hanging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Забезпечити підготовку персоналу та обладнання для швидкого реагування на надзвичайні ситуації.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uk-UA"/>
        </w:rPr>
        <w:t> 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Керуючий справами 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(секретар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)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виконкому                      </w:t>
        <w:tab/>
        <w:tab/>
        <w:tab/>
        <w:t xml:space="preserve">       Святослав ХЕРОВИЧ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701" w:right="282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sz w:val="32"/>
      <w:szCs w:val="24"/>
      <w:lang w:eastAsia="ar-SA"/>
    </w:rPr>
  </w:style>
  <w:style w:type="paragraph" w:styleId="6">
    <w:name w:val="Heading 6"/>
    <w:basedOn w:val="Normal"/>
    <w:next w:val="Normal"/>
    <w:link w:val="60"/>
    <w:qFormat/>
    <w:pPr>
      <w:numPr>
        <w:ilvl w:val="5"/>
        <w:numId w:val="1"/>
      </w:numPr>
      <w:suppressAutoHyphens w:val="true"/>
      <w:spacing w:before="240" w:after="60"/>
      <w:outlineLvl w:val="5"/>
    </w:pPr>
    <w:rPr>
      <w:rFonts w:ascii="Calibri" w:hAnsi="Calibri" w:eastAsia="Times New Roman" w:cs="Calibri"/>
      <w:b/>
      <w:bCs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Pr>
      <w:rFonts w:ascii="Times New Roman" w:hAnsi="Times New Roman" w:eastAsia="Times New Roman" w:cs="Times New Roman"/>
      <w:b/>
      <w:sz w:val="32"/>
      <w:szCs w:val="24"/>
      <w:lang w:eastAsia="ar-SA"/>
    </w:rPr>
  </w:style>
  <w:style w:type="character" w:styleId="61" w:customStyle="1">
    <w:name w:val="Заголовок 6 Знак"/>
    <w:basedOn w:val="DefaultParagraphFont"/>
    <w:link w:val="6"/>
    <w:qFormat/>
    <w:rPr>
      <w:rFonts w:ascii="Calibri" w:hAnsi="Calibri" w:eastAsia="Times New Roman" w:cs="Calibri"/>
      <w:b/>
      <w:bCs/>
      <w:lang w:eastAsia="ar-SA"/>
    </w:rPr>
  </w:style>
  <w:style w:type="character" w:styleId="Rvts7" w:customStyle="1">
    <w:name w:val="rvts7"/>
    <w:basedOn w:val="DefaultParagraphFont"/>
    <w:qFormat/>
    <w:rPr/>
  </w:style>
  <w:style w:type="character" w:styleId="Style12" w:customStyle="1">
    <w:name w:val="Текст у виносці Знак"/>
    <w:basedOn w:val="DefaultParagraphFont"/>
    <w:link w:val="a3"/>
    <w:uiPriority w:val="99"/>
    <w:semiHidden/>
    <w:qFormat/>
    <w:rPr>
      <w:rFonts w:ascii="Segoe UI" w:hAnsi="Segoe UI" w:cs="Segoe UI"/>
      <w:sz w:val="18"/>
      <w:szCs w:val="18"/>
      <w:lang w:val="ru-RU" w:eastAsia="en-US"/>
    </w:rPr>
  </w:style>
  <w:style w:type="character" w:styleId="5259" w:customStyle="1">
    <w:name w:val="5259"/>
    <w:basedOn w:val="DefaultParagraphFont"/>
    <w:qFormat/>
    <w:rsid w:val="003c1411"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1" w:customStyle="1">
    <w:name w:val="rvps1"/>
    <w:basedOn w:val="Normal"/>
    <w:qFormat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Rvps658" w:customStyle="1">
    <w:name w:val="rvps658"/>
    <w:basedOn w:val="Normal"/>
    <w:qFormat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andard" w:customStyle="1">
    <w:name w:val="Standard"/>
    <w:qFormat/>
    <w:rsid w:val="0010148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Textbody" w:customStyle="1">
    <w:name w:val="Text body"/>
    <w:basedOn w:val="Standard"/>
    <w:qFormat/>
    <w:rsid w:val="00101482"/>
    <w:pPr>
      <w:ind w:right="-619" w:hanging="0"/>
      <w:jc w:val="both"/>
    </w:pPr>
    <w:rPr>
      <w:sz w:val="28"/>
      <w:szCs w:val="20"/>
      <w:lang w:val="uk-UA"/>
    </w:rPr>
  </w:style>
  <w:style w:type="paragraph" w:styleId="Docdata" w:customStyle="1">
    <w:name w:val="docdata"/>
    <w:basedOn w:val="Normal"/>
    <w:qFormat/>
    <w:rsid w:val="003c14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qFormat/>
    <w:rsid w:val="003c14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70E345-A7B3-4D8C-A132-8FCBD09F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LibreOffice/7.0.0.3$Windows_X86_64 LibreOffice_project/8061b3e9204bef6b321a21033174034a5e2ea88e</Application>
  <Pages>6</Pages>
  <Words>1128</Words>
  <Characters>7696</Characters>
  <CharactersWithSpaces>8896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2025-07-10T09:41:00Z</dcterms:created>
  <dc:creator>User</dc:creator>
  <dc:description/>
  <dc:language>uk-UA</dc:language>
  <cp:lastModifiedBy/>
  <cp:lastPrinted>2025-07-10T15:58:02Z</cp:lastPrinted>
  <dcterms:modified xsi:type="dcterms:W3CDTF">2025-07-10T15:57:51Z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FE5253766FF94AB6BB6BB1A751C27B4D</vt:lpwstr>
  </property>
  <property fmtid="{D5CDD505-2E9C-101B-9397-08002B2CF9AE}" pid="6" name="KSOProductBuildVer">
    <vt:lpwstr>1033-12.2.0.16731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