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28" w:rsidRDefault="00AF3E28" w:rsidP="00AF3E28">
      <w:pPr>
        <w:spacing w:line="240" w:lineRule="auto"/>
        <w:jc w:val="left"/>
        <w:rPr>
          <w:b/>
          <w:sz w:val="32"/>
        </w:rPr>
      </w:pPr>
    </w:p>
    <w:p w:rsidR="00AF3E28" w:rsidRDefault="00AF3E28" w:rsidP="00AF3E28">
      <w:pPr>
        <w:spacing w:line="240" w:lineRule="auto"/>
        <w:jc w:val="left"/>
        <w:rPr>
          <w:b/>
          <w:sz w:val="32"/>
        </w:rPr>
      </w:pPr>
    </w:p>
    <w:p w:rsidR="00AF3E28" w:rsidRDefault="00AF3E28" w:rsidP="00AF3E28">
      <w:pPr>
        <w:spacing w:line="240" w:lineRule="auto"/>
        <w:jc w:val="left"/>
        <w:rPr>
          <w:b/>
          <w:sz w:val="32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-527050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     </w:t>
      </w:r>
    </w:p>
    <w:p w:rsidR="00AF3E28" w:rsidRDefault="00AF3E28" w:rsidP="00AF3E28">
      <w:pPr>
        <w:spacing w:line="240" w:lineRule="auto"/>
        <w:jc w:val="left"/>
        <w:rPr>
          <w:b/>
          <w:sz w:val="36"/>
        </w:rPr>
      </w:pPr>
      <w:r>
        <w:rPr>
          <w:b/>
          <w:sz w:val="32"/>
        </w:rPr>
        <w:t xml:space="preserve">                                 </w:t>
      </w:r>
      <w:r>
        <w:rPr>
          <w:sz w:val="36"/>
        </w:rPr>
        <w:t xml:space="preserve">  </w:t>
      </w:r>
      <w:r>
        <w:rPr>
          <w:b/>
          <w:sz w:val="36"/>
        </w:rPr>
        <w:t>Жовківська міська рада</w:t>
      </w:r>
    </w:p>
    <w:p w:rsidR="00AF3E28" w:rsidRDefault="00AF3E28" w:rsidP="00AF3E28">
      <w:pPr>
        <w:pStyle w:val="2"/>
        <w:rPr>
          <w:b/>
          <w:bCs/>
          <w:sz w:val="36"/>
        </w:rPr>
      </w:pPr>
      <w:r>
        <w:rPr>
          <w:b/>
          <w:sz w:val="36"/>
        </w:rPr>
        <w:t>Льв</w:t>
      </w:r>
      <w:r>
        <w:rPr>
          <w:b/>
          <w:bCs/>
          <w:sz w:val="36"/>
        </w:rPr>
        <w:t>івського району Львівської області</w:t>
      </w:r>
    </w:p>
    <w:p w:rsidR="00AF3E28" w:rsidRDefault="00AF3E28" w:rsidP="00AF3E28">
      <w:pPr>
        <w:pStyle w:val="1"/>
        <w:tabs>
          <w:tab w:val="left" w:pos="1305"/>
          <w:tab w:val="center" w:pos="4678"/>
        </w:tabs>
        <w:spacing w:line="300" w:lineRule="auto"/>
        <w:rPr>
          <w:spacing w:val="0"/>
        </w:rPr>
      </w:pPr>
      <w:r>
        <w:rPr>
          <w:spacing w:val="0"/>
        </w:rPr>
        <w:t xml:space="preserve">-та чергова сесія </w:t>
      </w:r>
      <w:r>
        <w:rPr>
          <w:spacing w:val="0"/>
          <w:lang w:val="en-US"/>
        </w:rPr>
        <w:t>V</w:t>
      </w:r>
      <w:r>
        <w:rPr>
          <w:spacing w:val="0"/>
        </w:rPr>
        <w:t>І</w:t>
      </w:r>
      <w:r>
        <w:rPr>
          <w:spacing w:val="0"/>
          <w:lang w:val="en-US"/>
        </w:rPr>
        <w:t>I</w:t>
      </w:r>
      <w:r>
        <w:rPr>
          <w:spacing w:val="0"/>
        </w:rPr>
        <w:t>І-го демократичного скликання</w:t>
      </w:r>
    </w:p>
    <w:p w:rsidR="00AF3E28" w:rsidRDefault="00AF3E28" w:rsidP="00AF3E28">
      <w:pPr>
        <w:tabs>
          <w:tab w:val="left" w:pos="3015"/>
        </w:tabs>
        <w:jc w:val="left"/>
        <w:rPr>
          <w:sz w:val="32"/>
        </w:rPr>
      </w:pPr>
      <w:r>
        <w:rPr>
          <w:b/>
          <w:bCs/>
        </w:rPr>
        <w:tab/>
        <w:t xml:space="preserve">   </w:t>
      </w:r>
      <w:r>
        <w:rPr>
          <w:b/>
          <w:bCs/>
          <w:sz w:val="32"/>
        </w:rPr>
        <w:t xml:space="preserve">      РІШЕННЯ</w:t>
      </w:r>
    </w:p>
    <w:p w:rsidR="00AF3E28" w:rsidRDefault="00AF3E28" w:rsidP="00AF3E28">
      <w:pPr>
        <w:tabs>
          <w:tab w:val="left" w:pos="7020"/>
        </w:tabs>
        <w:jc w:val="left"/>
        <w:rPr>
          <w:sz w:val="28"/>
          <w:szCs w:val="24"/>
        </w:rPr>
      </w:pPr>
      <w:r>
        <w:rPr>
          <w:sz w:val="28"/>
          <w:szCs w:val="24"/>
        </w:rPr>
        <w:t>від .2025</w:t>
      </w:r>
      <w:r>
        <w:rPr>
          <w:sz w:val="28"/>
          <w:szCs w:val="24"/>
        </w:rPr>
        <w:t xml:space="preserve"> року      №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                                                   м. Жовква</w:t>
      </w:r>
    </w:p>
    <w:p w:rsidR="00AF3E28" w:rsidRDefault="00AF3E28" w:rsidP="00AF3E28">
      <w:pPr>
        <w:spacing w:line="240" w:lineRule="auto"/>
        <w:jc w:val="both"/>
        <w:rPr>
          <w:b/>
          <w:sz w:val="28"/>
          <w:szCs w:val="28"/>
        </w:rPr>
      </w:pPr>
    </w:p>
    <w:p w:rsidR="00AF3E28" w:rsidRDefault="00AF3E28" w:rsidP="00AF3E2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</w:t>
      </w:r>
      <w:r>
        <w:rPr>
          <w:b/>
          <w:sz w:val="28"/>
          <w:szCs w:val="28"/>
          <w:lang w:val="ru-RU"/>
        </w:rPr>
        <w:t>П</w:t>
      </w:r>
      <w:proofErr w:type="spellStart"/>
      <w:r>
        <w:rPr>
          <w:b/>
          <w:sz w:val="28"/>
          <w:szCs w:val="28"/>
        </w:rPr>
        <w:t>рограми</w:t>
      </w:r>
      <w:proofErr w:type="spellEnd"/>
    </w:p>
    <w:p w:rsidR="00AF3E28" w:rsidRDefault="00AF3E28" w:rsidP="00AF3E2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фінансового забезпечення представницьких</w:t>
      </w:r>
    </w:p>
    <w:p w:rsidR="00AF3E28" w:rsidRDefault="00AF3E28" w:rsidP="00AF3E2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витрат та інших видатків, </w:t>
      </w:r>
      <w:proofErr w:type="spellStart"/>
      <w:r>
        <w:rPr>
          <w:b/>
          <w:sz w:val="28"/>
          <w:szCs w:val="28"/>
        </w:rPr>
        <w:t>пов</w:t>
      </w:r>
      <w:proofErr w:type="spellEnd"/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ru-RU"/>
        </w:rPr>
        <w:t>язаних</w:t>
      </w:r>
      <w:proofErr w:type="spellEnd"/>
    </w:p>
    <w:p w:rsidR="00AF3E28" w:rsidRDefault="00AF3E28" w:rsidP="00AF3E2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 діяльністю Жовківської міської ради</w:t>
      </w:r>
    </w:p>
    <w:p w:rsidR="00AF3E28" w:rsidRDefault="00AF3E28" w:rsidP="00AF3E2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</w:t>
      </w:r>
    </w:p>
    <w:p w:rsidR="00AF3E28" w:rsidRDefault="00AF3E28" w:rsidP="00AF3E28">
      <w:pPr>
        <w:rPr>
          <w:sz w:val="28"/>
          <w:szCs w:val="28"/>
        </w:rPr>
      </w:pPr>
    </w:p>
    <w:p w:rsidR="00AF3E28" w:rsidRDefault="00AF3E28" w:rsidP="00AF3E28">
      <w:pPr>
        <w:tabs>
          <w:tab w:val="left" w:pos="851"/>
        </w:tabs>
        <w:ind w:right="16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Відповідно до п. 22 ст. 26 Закону України «Про місцеве самоврядування в Україні», керуючись Бюджетним кодексом України, ст. 91, </w:t>
      </w:r>
      <w:r>
        <w:rPr>
          <w:sz w:val="28"/>
          <w:szCs w:val="26"/>
        </w:rPr>
        <w:t>враховуючи висновки постійної комісії з питань планування соціально-економічного розвитку, бюджету, фінансів, інвестицій, торгівлі, послуг та розвитку підприємництва, Жовківська міська рада</w:t>
      </w:r>
    </w:p>
    <w:p w:rsidR="00AF3E28" w:rsidRDefault="00AF3E28" w:rsidP="00AF3E28">
      <w:pPr>
        <w:tabs>
          <w:tab w:val="left" w:pos="1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AF3E28" w:rsidRDefault="00AF3E28" w:rsidP="00AF3E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Програму фінансового забезпечення представницьких витрат та інших видатків, пов’язаних з діяльністю Жовківської міської ради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рік згідно додатку.</w:t>
      </w:r>
    </w:p>
    <w:p w:rsidR="00AF3E28" w:rsidRDefault="00AF3E28" w:rsidP="00AF3E28">
      <w:pPr>
        <w:pStyle w:val="ListParagraph"/>
        <w:autoSpaceDE/>
        <w:ind w:left="-57" w:firstLine="4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постійну депутатську комісію з питань планування соціально-економічного розвитку, бюджету, фінансів, інвестицій, торгівлі, послуг та розвитку підприємництва (</w:t>
      </w:r>
      <w:proofErr w:type="spellStart"/>
      <w:r>
        <w:rPr>
          <w:sz w:val="28"/>
          <w:szCs w:val="28"/>
          <w:lang w:val="uk-UA"/>
        </w:rPr>
        <w:t>Кожушко</w:t>
      </w:r>
      <w:proofErr w:type="spellEnd"/>
      <w:r>
        <w:rPr>
          <w:sz w:val="28"/>
          <w:szCs w:val="28"/>
          <w:lang w:val="uk-UA"/>
        </w:rPr>
        <w:t xml:space="preserve"> М.П.).</w:t>
      </w:r>
    </w:p>
    <w:p w:rsidR="00AF3E28" w:rsidRDefault="00AF3E28" w:rsidP="00AF3E28">
      <w:pPr>
        <w:ind w:firstLine="720"/>
        <w:jc w:val="both"/>
        <w:rPr>
          <w:sz w:val="28"/>
          <w:szCs w:val="28"/>
        </w:rPr>
      </w:pPr>
    </w:p>
    <w:p w:rsidR="00AF3E28" w:rsidRDefault="00AF3E28" w:rsidP="00AF3E28">
      <w:pPr>
        <w:rPr>
          <w:sz w:val="28"/>
          <w:szCs w:val="28"/>
        </w:rPr>
      </w:pPr>
    </w:p>
    <w:p w:rsidR="00AF3E28" w:rsidRDefault="00AF3E28" w:rsidP="00AF3E28">
      <w:pPr>
        <w:rPr>
          <w:sz w:val="28"/>
          <w:szCs w:val="28"/>
        </w:rPr>
      </w:pPr>
    </w:p>
    <w:p w:rsidR="00AF3E28" w:rsidRDefault="00AF3E28" w:rsidP="00AF3E28">
      <w:pPr>
        <w:jc w:val="both"/>
        <w:rPr>
          <w:sz w:val="28"/>
          <w:szCs w:val="28"/>
        </w:rPr>
      </w:pPr>
    </w:p>
    <w:p w:rsidR="00AF3E28" w:rsidRDefault="00AF3E28" w:rsidP="00AF3E28">
      <w:pPr>
        <w:jc w:val="both"/>
        <w:rPr>
          <w:sz w:val="28"/>
          <w:szCs w:val="28"/>
        </w:rPr>
      </w:pPr>
    </w:p>
    <w:p w:rsidR="00AF3E28" w:rsidRDefault="00AF3E28" w:rsidP="00AF3E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Олег ВОЛЬСЬКИЙ</w:t>
      </w:r>
    </w:p>
    <w:p w:rsidR="00AF3E28" w:rsidRDefault="00AF3E28" w:rsidP="00AF3E28">
      <w:pPr>
        <w:jc w:val="both"/>
        <w:rPr>
          <w:b/>
          <w:sz w:val="28"/>
          <w:szCs w:val="28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jc w:val="both"/>
        <w:rPr>
          <w:b/>
          <w:sz w:val="26"/>
          <w:szCs w:val="26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spacing w:line="360" w:lineRule="auto"/>
        <w:rPr>
          <w:rFonts w:ascii="TimesNewRomanPSMT" w:hAnsi="TimesNewRomanPSMT" w:cs="TimesNewRomanPSMT"/>
          <w:b/>
          <w:sz w:val="40"/>
          <w:szCs w:val="40"/>
        </w:rPr>
      </w:pPr>
      <w:r>
        <w:rPr>
          <w:rFonts w:ascii="TimesNewRomanPSMT" w:hAnsi="TimesNewRomanPSMT" w:cs="TimesNewRomanPSMT"/>
          <w:b/>
          <w:sz w:val="40"/>
          <w:szCs w:val="40"/>
        </w:rPr>
        <w:t xml:space="preserve">ПРОГРАМА </w:t>
      </w:r>
    </w:p>
    <w:p w:rsidR="00AF3E28" w:rsidRDefault="00AF3E28" w:rsidP="00AF3E28">
      <w:pPr>
        <w:spacing w:line="360" w:lineRule="auto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ascii="TimesNewRomanPSMT" w:hAnsi="TimesNewRomanPSMT" w:cs="TimesNewRomanPSMT"/>
          <w:b/>
          <w:sz w:val="36"/>
          <w:szCs w:val="36"/>
        </w:rPr>
        <w:t xml:space="preserve">ФІНАНСОВОГО ЗАБЕЗПЕЧЕННЯ </w:t>
      </w:r>
    </w:p>
    <w:p w:rsidR="00AF3E28" w:rsidRDefault="00AF3E28" w:rsidP="00AF3E28">
      <w:pPr>
        <w:spacing w:line="360" w:lineRule="auto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ascii="TimesNewRomanPSMT" w:hAnsi="TimesNewRomanPSMT" w:cs="TimesNewRomanPSMT"/>
          <w:b/>
          <w:sz w:val="36"/>
          <w:szCs w:val="36"/>
        </w:rPr>
        <w:t xml:space="preserve">ПРЕДСТАВНИЦЬКИХ ВИТРАТ ТА ІНШИХ </w:t>
      </w:r>
    </w:p>
    <w:p w:rsidR="00AF3E28" w:rsidRDefault="00AF3E28" w:rsidP="00AF3E28">
      <w:pPr>
        <w:spacing w:line="360" w:lineRule="auto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ascii="TimesNewRomanPSMT" w:hAnsi="TimesNewRomanPSMT" w:cs="TimesNewRomanPSMT"/>
          <w:b/>
          <w:sz w:val="36"/>
          <w:szCs w:val="36"/>
        </w:rPr>
        <w:t>ВИДАТКІВ, ПОВ'ЯЗАНИХ ІЗ ДІЯЛЬНІСТЮ</w:t>
      </w:r>
    </w:p>
    <w:p w:rsidR="00AF3E28" w:rsidRDefault="00AF3E28" w:rsidP="00AF3E28">
      <w:pPr>
        <w:spacing w:line="360" w:lineRule="auto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ascii="TimesNewRomanPSMT" w:hAnsi="TimesNewRomanPSMT" w:cs="TimesNewRomanPSMT"/>
          <w:b/>
          <w:sz w:val="36"/>
          <w:szCs w:val="36"/>
        </w:rPr>
        <w:t xml:space="preserve">ЖОВКІВСЬКОЇ МІСЬКОЇ РАДИ </w:t>
      </w:r>
    </w:p>
    <w:p w:rsidR="00AF3E28" w:rsidRDefault="00AF3E28" w:rsidP="00AF3E28">
      <w:pPr>
        <w:spacing w:line="36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6"/>
          <w:szCs w:val="36"/>
        </w:rPr>
        <w:t>НА  202</w:t>
      </w:r>
      <w:r>
        <w:rPr>
          <w:rFonts w:ascii="TimesNewRomanPSMT" w:hAnsi="TimesNewRomanPSMT" w:cs="TimesNewRomanPSMT"/>
          <w:b/>
          <w:sz w:val="36"/>
          <w:szCs w:val="36"/>
        </w:rPr>
        <w:t>5</w:t>
      </w:r>
      <w:r>
        <w:rPr>
          <w:rFonts w:ascii="TimesNewRomanPSMT" w:hAnsi="TimesNewRomanPSMT" w:cs="TimesNewRomanPSMT"/>
          <w:b/>
          <w:sz w:val="36"/>
          <w:szCs w:val="36"/>
        </w:rPr>
        <w:t xml:space="preserve">  РІК</w:t>
      </w:r>
      <w:r>
        <w:rPr>
          <w:rFonts w:ascii="TimesNewRomanPSMT" w:hAnsi="TimesNewRomanPSMT" w:cs="TimesNewRomanPSMT"/>
          <w:b/>
          <w:sz w:val="32"/>
          <w:szCs w:val="32"/>
        </w:rPr>
        <w:t xml:space="preserve"> </w:t>
      </w: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jc w:val="both"/>
        <w:rPr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AF3E28" w:rsidRDefault="00AF3E28" w:rsidP="00AF3E28">
      <w:pPr>
        <w:rPr>
          <w:szCs w:val="28"/>
        </w:rPr>
      </w:pPr>
      <w:r>
        <w:rPr>
          <w:szCs w:val="28"/>
        </w:rPr>
        <w:t>м. Жовква</w:t>
      </w: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sz w:val="28"/>
          <w:szCs w:val="28"/>
        </w:rPr>
      </w:pPr>
    </w:p>
    <w:p w:rsidR="00AF3E28" w:rsidRDefault="00AF3E28" w:rsidP="00AF3E28">
      <w:pPr>
        <w:rPr>
          <w:b/>
          <w:sz w:val="28"/>
          <w:szCs w:val="28"/>
        </w:rPr>
      </w:pPr>
    </w:p>
    <w:p w:rsidR="00AF3E28" w:rsidRDefault="00AF3E28" w:rsidP="00AF3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1.ПАСПОРТ</w:t>
      </w:r>
    </w:p>
    <w:p w:rsidR="00AF3E28" w:rsidRDefault="00AF3E28" w:rsidP="00AF3E28">
      <w:pPr>
        <w:rPr>
          <w:b/>
          <w:bCs/>
          <w:color w:val="000000"/>
          <w:sz w:val="28"/>
          <w:szCs w:val="28"/>
          <w:lang w:val="ru-RU"/>
        </w:rPr>
      </w:pPr>
      <w:r>
        <w:rPr>
          <w:rFonts w:ascii="TimesNewRomanPSMT" w:hAnsi="TimesNewRomanPSMT" w:cs="TimesNewRomanPSMT"/>
          <w:b/>
          <w:sz w:val="26"/>
          <w:szCs w:val="28"/>
          <w:lang w:val="ru-RU"/>
        </w:rPr>
        <w:t>П</w:t>
      </w:r>
      <w:proofErr w:type="spellStart"/>
      <w:r>
        <w:rPr>
          <w:rFonts w:ascii="TimesNewRomanPSMT" w:hAnsi="TimesNewRomanPSMT" w:cs="TimesNewRomanPSMT"/>
          <w:b/>
          <w:sz w:val="26"/>
          <w:szCs w:val="28"/>
        </w:rPr>
        <w:t>рограми</w:t>
      </w:r>
      <w:proofErr w:type="spellEnd"/>
      <w:r>
        <w:rPr>
          <w:rFonts w:ascii="TimesNewRomanPSMT" w:hAnsi="TimesNewRomanPSMT" w:cs="TimesNewRomanPSMT"/>
          <w:b/>
          <w:sz w:val="26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фінансового забезпечення представницьких витрат</w:t>
      </w:r>
    </w:p>
    <w:p w:rsidR="00AF3E28" w:rsidRDefault="00AF3E28" w:rsidP="00AF3E28">
      <w:pPr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та інших видатків,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>пов’язаних з діяльністю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AF3E28" w:rsidRDefault="00AF3E28" w:rsidP="00AF3E28">
      <w:pPr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Жовківської міської ради</w:t>
      </w:r>
    </w:p>
    <w:p w:rsidR="00AF3E28" w:rsidRDefault="00AF3E28" w:rsidP="00AF3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</w:t>
      </w:r>
    </w:p>
    <w:p w:rsidR="00AF3E28" w:rsidRDefault="00AF3E28" w:rsidP="00AF3E28">
      <w:pPr>
        <w:rPr>
          <w:b/>
          <w:szCs w:val="28"/>
        </w:rPr>
      </w:pPr>
    </w:p>
    <w:p w:rsidR="00AF3E28" w:rsidRDefault="00AF3E28" w:rsidP="00AF3E28">
      <w:pPr>
        <w:rPr>
          <w:b/>
          <w:bCs/>
          <w:color w:val="000000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970"/>
        <w:gridCol w:w="4726"/>
      </w:tblGrid>
      <w:tr w:rsidR="00AF3E28" w:rsidTr="00AF3E28">
        <w:trPr>
          <w:trHeight w:val="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Жовківська міська рада</w:t>
            </w:r>
          </w:p>
          <w:p w:rsidR="00AF3E28" w:rsidRDefault="00AF3E28">
            <w:pPr>
              <w:rPr>
                <w:rFonts w:eastAsia="Batang"/>
                <w:szCs w:val="28"/>
              </w:rPr>
            </w:pPr>
          </w:p>
        </w:tc>
      </w:tr>
      <w:tr w:rsidR="00AF3E28" w:rsidTr="00AF3E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Назва розпорядчого документа при розробленні Програми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pStyle w:val="a5"/>
              <w:rPr>
                <w:rFonts w:eastAsia="Batang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Закони України «Про місцеве самоврядування в Україні», «Про статус депутатів місцевих рад», Бюджетний Кодекс України, Наказ Міністерства фінансів України  від 14.09.2010  N 1026</w:t>
            </w:r>
          </w:p>
        </w:tc>
      </w:tr>
      <w:tr w:rsidR="00AF3E28" w:rsidTr="00AF3E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Жовківська міська рада</w:t>
            </w:r>
          </w:p>
          <w:p w:rsidR="00AF3E28" w:rsidRDefault="00AF3E28">
            <w:pPr>
              <w:rPr>
                <w:rFonts w:eastAsia="Batang"/>
                <w:szCs w:val="28"/>
              </w:rPr>
            </w:pPr>
          </w:p>
        </w:tc>
      </w:tr>
      <w:tr w:rsidR="00AF3E28" w:rsidTr="00AF3E28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Програми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F3E28" w:rsidTr="00AF3E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Жовківська міська рада</w:t>
            </w:r>
          </w:p>
          <w:p w:rsidR="00AF3E28" w:rsidRDefault="00AF3E28">
            <w:pPr>
              <w:rPr>
                <w:rFonts w:eastAsia="Batang"/>
                <w:szCs w:val="28"/>
              </w:rPr>
            </w:pPr>
          </w:p>
        </w:tc>
      </w:tr>
      <w:tr w:rsidR="00AF3E28" w:rsidTr="00AF3E28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F3E28" w:rsidTr="00AF3E28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 w:rsidP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 xml:space="preserve"> рік</w:t>
            </w:r>
          </w:p>
        </w:tc>
      </w:tr>
      <w:tr w:rsidR="00AF3E28" w:rsidTr="00AF3E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Міський бюдже</w:t>
            </w:r>
            <w:bookmarkStart w:id="0" w:name="_GoBack"/>
            <w:bookmarkEnd w:id="0"/>
            <w:r>
              <w:rPr>
                <w:szCs w:val="28"/>
              </w:rPr>
              <w:t>т</w:t>
            </w:r>
          </w:p>
        </w:tc>
      </w:tr>
      <w:tr w:rsidR="00AF3E28" w:rsidTr="00AF3E2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8" w:rsidRDefault="00AF3E28">
            <w:pPr>
              <w:rPr>
                <w:szCs w:val="28"/>
              </w:rPr>
            </w:pPr>
          </w:p>
          <w:p w:rsidR="00AF3E28" w:rsidRDefault="00AF3E28">
            <w:pPr>
              <w:rPr>
                <w:szCs w:val="28"/>
              </w:rPr>
            </w:pPr>
            <w:r>
              <w:rPr>
                <w:szCs w:val="28"/>
              </w:rPr>
              <w:t xml:space="preserve">Орієнтований обсяг фінансування Програми, усього </w:t>
            </w:r>
          </w:p>
          <w:p w:rsidR="00AF3E28" w:rsidRDefault="00AF3E28">
            <w:pPr>
              <w:rPr>
                <w:szCs w:val="28"/>
              </w:rPr>
            </w:pPr>
          </w:p>
          <w:p w:rsidR="00AF3E28" w:rsidRDefault="00AF3E28">
            <w:pPr>
              <w:rPr>
                <w:rFonts w:eastAsia="Batang"/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кошти міського бюджету</w:t>
            </w:r>
          </w:p>
          <w:p w:rsidR="00AF3E28" w:rsidRDefault="00AF3E28">
            <w:pPr>
              <w:rPr>
                <w:szCs w:val="28"/>
              </w:rPr>
            </w:pPr>
          </w:p>
          <w:p w:rsidR="00AF3E28" w:rsidRDefault="00AF3E28">
            <w:pPr>
              <w:rPr>
                <w:rFonts w:eastAsia="Batang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8" w:rsidRDefault="00AF3E28" w:rsidP="00265AEA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  <w:r>
              <w:rPr>
                <w:szCs w:val="28"/>
              </w:rPr>
              <w:t xml:space="preserve">0 </w:t>
            </w:r>
            <w:proofErr w:type="spellStart"/>
            <w:r>
              <w:rPr>
                <w:szCs w:val="28"/>
              </w:rPr>
              <w:t>тис.грн</w:t>
            </w:r>
            <w:proofErr w:type="spellEnd"/>
          </w:p>
          <w:p w:rsidR="00AF3E28" w:rsidRDefault="00AF3E28" w:rsidP="00265AEA">
            <w:pPr>
              <w:rPr>
                <w:szCs w:val="28"/>
              </w:rPr>
            </w:pPr>
          </w:p>
          <w:p w:rsidR="00AF3E28" w:rsidRDefault="00AF3E28" w:rsidP="00265AEA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  <w:r>
              <w:rPr>
                <w:szCs w:val="28"/>
              </w:rPr>
              <w:t xml:space="preserve">0 </w:t>
            </w:r>
            <w:proofErr w:type="spellStart"/>
            <w:r>
              <w:rPr>
                <w:szCs w:val="28"/>
              </w:rPr>
              <w:t>тис.грн</w:t>
            </w:r>
            <w:proofErr w:type="spellEnd"/>
            <w:r>
              <w:rPr>
                <w:szCs w:val="28"/>
              </w:rPr>
              <w:t>.</w:t>
            </w:r>
          </w:p>
          <w:p w:rsidR="00AF3E28" w:rsidRDefault="00AF3E28">
            <w:pPr>
              <w:rPr>
                <w:rFonts w:eastAsia="Batang"/>
                <w:szCs w:val="28"/>
              </w:rPr>
            </w:pPr>
          </w:p>
        </w:tc>
      </w:tr>
    </w:tbl>
    <w:p w:rsidR="00AF3E28" w:rsidRDefault="00AF3E28" w:rsidP="00AF3E28">
      <w:pPr>
        <w:shd w:val="clear" w:color="auto" w:fill="FFFFFF"/>
        <w:rPr>
          <w:rFonts w:eastAsia="Batang"/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rPr>
          <w:b/>
          <w:bCs/>
          <w:color w:val="000000"/>
          <w:szCs w:val="28"/>
        </w:rPr>
      </w:pPr>
    </w:p>
    <w:p w:rsidR="00AF3E28" w:rsidRDefault="00AF3E28" w:rsidP="00AF3E28">
      <w:pPr>
        <w:shd w:val="clear" w:color="auto" w:fill="FFFFFF"/>
        <w:ind w:left="-426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2. </w:t>
      </w:r>
      <w:r>
        <w:rPr>
          <w:b/>
          <w:sz w:val="26"/>
          <w:szCs w:val="26"/>
        </w:rPr>
        <w:t>Проблеми, на розв’язання яких спрямована програма</w:t>
      </w:r>
    </w:p>
    <w:p w:rsidR="00AF3E28" w:rsidRDefault="00AF3E28" w:rsidP="00AF3E28">
      <w:pPr>
        <w:spacing w:line="240" w:lineRule="auto"/>
        <w:ind w:left="-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Чинне законодавство України передбачає, що органи місцевого самоврядування можуть виступати організаторами заходів місцевого значення та учасниками заходів загальнодержавного та міжнародного значення. Жовківська міська рада є членом різних Асоціацій різного рівня.</w:t>
      </w:r>
    </w:p>
    <w:p w:rsidR="00AF3E28" w:rsidRDefault="00AF3E28" w:rsidP="00AF3E28">
      <w:pPr>
        <w:spacing w:line="240" w:lineRule="auto"/>
        <w:ind w:left="-425"/>
        <w:contextualSpacing/>
        <w:jc w:val="both"/>
        <w:rPr>
          <w:rFonts w:eastAsia="Batang"/>
          <w:sz w:val="26"/>
          <w:szCs w:val="26"/>
        </w:rPr>
      </w:pPr>
      <w:r>
        <w:rPr>
          <w:color w:val="000000"/>
          <w:sz w:val="26"/>
          <w:szCs w:val="26"/>
        </w:rPr>
        <w:t>Програма</w:t>
      </w:r>
      <w:r>
        <w:rPr>
          <w:bCs/>
          <w:color w:val="000000"/>
          <w:sz w:val="26"/>
          <w:szCs w:val="26"/>
        </w:rPr>
        <w:t xml:space="preserve"> фінансового забезпечення представницьких витрат та інших видатків, пов’язаних із діяльністю </w:t>
      </w:r>
      <w:r>
        <w:rPr>
          <w:sz w:val="26"/>
          <w:szCs w:val="26"/>
        </w:rPr>
        <w:t>Жовківської міської ради</w:t>
      </w:r>
      <w:r>
        <w:rPr>
          <w:rFonts w:eastAsia="Batang"/>
          <w:sz w:val="26"/>
          <w:szCs w:val="26"/>
        </w:rPr>
        <w:t xml:space="preserve"> </w:t>
      </w:r>
      <w:r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рік</w:t>
      </w:r>
      <w:r>
        <w:rPr>
          <w:color w:val="000000"/>
          <w:sz w:val="26"/>
          <w:szCs w:val="26"/>
        </w:rPr>
        <w:t xml:space="preserve"> (далі - Програма) розроблена відповідно до </w:t>
      </w:r>
      <w:r>
        <w:rPr>
          <w:sz w:val="26"/>
          <w:szCs w:val="26"/>
        </w:rPr>
        <w:t>п. 22 ст. 26</w:t>
      </w:r>
      <w:r>
        <w:rPr>
          <w:color w:val="000000"/>
          <w:sz w:val="26"/>
          <w:szCs w:val="26"/>
        </w:rPr>
        <w:t>, ст. 35 Закону України "Про місцеве самоврядування в Україні", Указів Президента України щодо відзначення загальнодержавних та професійних свят та ін..</w:t>
      </w:r>
    </w:p>
    <w:p w:rsidR="00AF3E28" w:rsidRDefault="00AF3E28" w:rsidP="00AF3E28">
      <w:pPr>
        <w:shd w:val="clear" w:color="auto" w:fill="FFFFFF"/>
        <w:ind w:left="-426"/>
        <w:jc w:val="both"/>
        <w:rPr>
          <w:b/>
          <w:bCs/>
          <w:color w:val="000000"/>
          <w:sz w:val="26"/>
          <w:szCs w:val="26"/>
        </w:rPr>
      </w:pPr>
    </w:p>
    <w:p w:rsidR="00AF3E28" w:rsidRDefault="00AF3E28" w:rsidP="00AF3E28">
      <w:pPr>
        <w:shd w:val="clear" w:color="auto" w:fill="FFFFFF"/>
        <w:ind w:left="-426"/>
        <w:rPr>
          <w:sz w:val="26"/>
          <w:szCs w:val="26"/>
        </w:rPr>
      </w:pPr>
      <w:r>
        <w:rPr>
          <w:b/>
          <w:bCs/>
          <w:sz w:val="26"/>
          <w:szCs w:val="26"/>
        </w:rPr>
        <w:t>3. Мета програми</w:t>
      </w:r>
    </w:p>
    <w:p w:rsidR="00AF3E28" w:rsidRDefault="00AF3E28" w:rsidP="00AF3E28">
      <w:pPr>
        <w:pStyle w:val="3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Програма спрямована на забезпечення реалізації міжнародної співпраці, яка реалізується через організацію взаємних візитів та прийомів,  виховання місцевого патріотизму, пропагування історичної, культурної спадщини та соціально-економічного потенціалу міста, проведення на території громади</w:t>
      </w:r>
      <w:r>
        <w:rPr>
          <w:rFonts w:eastAsia="Batang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загальнодержавних, районних та міських свят, створення відповідного іміджу при налагодженні ділових та культурних </w:t>
      </w:r>
      <w:proofErr w:type="spellStart"/>
      <w:r>
        <w:rPr>
          <w:sz w:val="26"/>
          <w:szCs w:val="26"/>
        </w:rPr>
        <w:t>зв'язків</w:t>
      </w:r>
      <w:proofErr w:type="spellEnd"/>
      <w:r>
        <w:rPr>
          <w:sz w:val="26"/>
          <w:szCs w:val="26"/>
        </w:rPr>
        <w:t>, популяризації геральдичної символіки міста та району, зміцнення авторитету органів державної влади та органів місцевого самоврядування, підтримки територіальної громади міста.</w:t>
      </w:r>
    </w:p>
    <w:p w:rsidR="00AF3E28" w:rsidRDefault="00AF3E28" w:rsidP="00AF3E28">
      <w:pPr>
        <w:tabs>
          <w:tab w:val="left" w:pos="1095"/>
        </w:tabs>
        <w:ind w:left="-426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4. Обґрунтування</w:t>
      </w:r>
      <w:r>
        <w:rPr>
          <w:b/>
          <w:sz w:val="26"/>
          <w:szCs w:val="26"/>
        </w:rPr>
        <w:t xml:space="preserve"> шляхів і засобів розв’язання проблеми, обсягів та джерел фінансування, строки та етапи виконання Програми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Виконання Програми дасть змогу: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забезпечити необхідні умови для </w:t>
      </w:r>
      <w:r>
        <w:rPr>
          <w:color w:val="000000"/>
          <w:sz w:val="26"/>
          <w:szCs w:val="26"/>
        </w:rPr>
        <w:t xml:space="preserve">здійснення депутатських повноважень та проведення </w:t>
      </w:r>
      <w:r>
        <w:rPr>
          <w:bCs/>
          <w:color w:val="000000"/>
          <w:sz w:val="26"/>
          <w:szCs w:val="26"/>
        </w:rPr>
        <w:t>видатків</w:t>
      </w:r>
      <w:r>
        <w:rPr>
          <w:color w:val="000000"/>
          <w:sz w:val="26"/>
          <w:szCs w:val="26"/>
        </w:rPr>
        <w:t>, пов’язаних із діяльністю міської ради;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забезпечити необхідні умови для участі представництва керівництва та депутатів міської ради в заходах загальнодержавного, місцевого та міжнародного значення, суспільно-політичних подіях;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вшанування пам’яті видатних осіб, відзначення пам’ятних дат, ювілеїв та професійних свят;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забезпечити проведення тематичних семінарів щодо покращення взаємодії органів місцевого самоврядування, державного управління і громади міста у вирішенні питань соціально-економічного розвитку території та покращення законодавчої бази;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забезпечити участь міської ради в Асоціаціях місцевих та регіональних рад;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забезпечити відзначення та нагородження громадян чи колективів за досягнуті результати;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здійснення міжнародних </w:t>
      </w:r>
      <w:proofErr w:type="spellStart"/>
      <w:r>
        <w:rPr>
          <w:sz w:val="26"/>
          <w:szCs w:val="26"/>
        </w:rPr>
        <w:t>зв’язків</w:t>
      </w:r>
      <w:proofErr w:type="spellEnd"/>
      <w:r>
        <w:rPr>
          <w:sz w:val="26"/>
          <w:szCs w:val="26"/>
        </w:rPr>
        <w:t>, встановлення взаємовигідного транскордонного та міжнародного співробітництва, вирішення питань, віднесених до компетенції органів місцевого самоврядування.</w:t>
      </w:r>
    </w:p>
    <w:p w:rsidR="00AF3E28" w:rsidRDefault="00AF3E28" w:rsidP="00AF3E28">
      <w:pPr>
        <w:shd w:val="clear" w:color="auto" w:fill="FFFFFF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Фінансування Програми здійснюється за рахунок коштів міського бюджету. </w:t>
      </w:r>
    </w:p>
    <w:p w:rsidR="00AF3E28" w:rsidRDefault="00AF3E28" w:rsidP="00AF3E28">
      <w:pPr>
        <w:shd w:val="clear" w:color="auto" w:fill="FFFFFF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Обсяг коштів на 202</w:t>
      </w:r>
      <w:r>
        <w:rPr>
          <w:sz w:val="26"/>
          <w:szCs w:val="26"/>
        </w:rPr>
        <w:t>5 рік становить 35</w:t>
      </w:r>
      <w:r>
        <w:rPr>
          <w:sz w:val="26"/>
          <w:szCs w:val="26"/>
        </w:rPr>
        <w:t>0 тис. грн., і може змінюватись при внесенні змін до міського бюджету.</w:t>
      </w:r>
    </w:p>
    <w:p w:rsidR="00AF3E28" w:rsidRDefault="00AF3E28" w:rsidP="00AF3E28">
      <w:pPr>
        <w:shd w:val="clear" w:color="auto" w:fill="FFFFFF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Строк реалізації програми до 31 грудня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року.</w:t>
      </w:r>
    </w:p>
    <w:p w:rsidR="00AF3E28" w:rsidRDefault="00AF3E28" w:rsidP="00AF3E28">
      <w:pPr>
        <w:shd w:val="clear" w:color="auto" w:fill="FFFFFF"/>
        <w:ind w:left="-426"/>
        <w:rPr>
          <w:b/>
          <w:sz w:val="26"/>
          <w:szCs w:val="26"/>
        </w:rPr>
      </w:pPr>
    </w:p>
    <w:p w:rsidR="00AF3E28" w:rsidRDefault="00AF3E28" w:rsidP="00AF3E28">
      <w:pPr>
        <w:shd w:val="clear" w:color="auto" w:fill="FFFFFF"/>
        <w:ind w:left="-426"/>
        <w:rPr>
          <w:sz w:val="26"/>
          <w:szCs w:val="26"/>
        </w:rPr>
      </w:pPr>
      <w:r>
        <w:rPr>
          <w:b/>
          <w:sz w:val="26"/>
          <w:szCs w:val="26"/>
        </w:rPr>
        <w:t>5.Напрями діяльності та заходи Програми</w:t>
      </w:r>
    </w:p>
    <w:p w:rsidR="00AF3E28" w:rsidRDefault="00AF3E28" w:rsidP="00AF3E28">
      <w:pPr>
        <w:ind w:left="-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Організація проведення на території </w:t>
      </w:r>
      <w:r>
        <w:rPr>
          <w:sz w:val="26"/>
          <w:szCs w:val="26"/>
        </w:rPr>
        <w:t>міста Жовква</w:t>
      </w:r>
      <w:r>
        <w:rPr>
          <w:rFonts w:eastAsia="Batang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заходів загальнодержавного, обласного, районного, міського та міжнародного значення (в тому числі представницькі витрати), пов’язаних із </w:t>
      </w:r>
      <w:r>
        <w:rPr>
          <w:bCs/>
          <w:sz w:val="26"/>
          <w:szCs w:val="26"/>
          <w:lang w:val="ru-RU"/>
        </w:rPr>
        <w:t>в</w:t>
      </w:r>
      <w:proofErr w:type="spellStart"/>
      <w:r>
        <w:rPr>
          <w:sz w:val="26"/>
          <w:szCs w:val="26"/>
        </w:rPr>
        <w:t>ідзначенням</w:t>
      </w:r>
      <w:proofErr w:type="spellEnd"/>
      <w:r>
        <w:rPr>
          <w:sz w:val="26"/>
          <w:szCs w:val="26"/>
        </w:rPr>
        <w:t>: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державних свят;</w:t>
      </w:r>
    </w:p>
    <w:p w:rsidR="00AF3E28" w:rsidRDefault="00AF3E28" w:rsidP="00AF3E28">
      <w:pPr>
        <w:pStyle w:val="a3"/>
        <w:tabs>
          <w:tab w:val="left" w:pos="108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пам’ятних дат (у тому числі святкування дат, пов’язаних з утворенням міста, тощо);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ювілеїв;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річниць;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професійних свят.</w:t>
      </w:r>
    </w:p>
    <w:p w:rsidR="00AF3E28" w:rsidRDefault="00AF3E28" w:rsidP="00AF3E28">
      <w:pPr>
        <w:widowControl/>
        <w:numPr>
          <w:ilvl w:val="1"/>
          <w:numId w:val="1"/>
        </w:numPr>
        <w:autoSpaceDE/>
        <w:adjustRightInd/>
        <w:spacing w:line="24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Здійснення робочих поїздок, візитів, а також прийом: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народних депутатів України;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керівництва обласної ради та обласної державної адміністрації;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іноземних делегацій.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 Пропагування історичних досягнень та соціально - економічного розвитку міста, а саме: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культурних традицій;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історичної спадщини;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краєзнавства;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наукового та соціального-економічного потенціалу;</w:t>
      </w:r>
    </w:p>
    <w:p w:rsidR="00AF3E28" w:rsidRDefault="00AF3E28" w:rsidP="00AF3E28">
      <w:pPr>
        <w:tabs>
          <w:tab w:val="left" w:pos="1080"/>
        </w:tabs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- роботи органів місцевого самоврядування та діяльності територіальної громади.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 Сприяння</w:t>
      </w:r>
      <w:r>
        <w:rPr>
          <w:sz w:val="26"/>
          <w:szCs w:val="26"/>
        </w:rPr>
        <w:t>: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3.1. у поширенні :</w:t>
      </w:r>
    </w:p>
    <w:p w:rsidR="00AF3E28" w:rsidRDefault="00AF3E28" w:rsidP="00AF3E28">
      <w:pPr>
        <w:pStyle w:val="a3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позитивного досвіду, інформації про роботу міської ради та виконавчого комітету, органів самоорганізації населення, підтримки діяльності комунальних підприємств та установ міста;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друкованої та іншої продукції з символікою міста.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3.2. в організації та проведенні :</w:t>
      </w:r>
    </w:p>
    <w:p w:rsidR="00AF3E28" w:rsidRDefault="00AF3E28" w:rsidP="00AF3E28">
      <w:pPr>
        <w:pStyle w:val="a3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конкурсів на здобуття звання у сфері економічного, соціального та культурного розвитку кращого населеного пункту (будинку) територіальної громади, кращого підприємства, установи, організації та колективу;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виставок-продажу за участю товаровиробників м. Жовква;</w:t>
      </w:r>
    </w:p>
    <w:p w:rsidR="00AF3E28" w:rsidRDefault="00AF3E28" w:rsidP="00AF3E28">
      <w:pPr>
        <w:pStyle w:val="a3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навчання, підвищення рівня освітньої кваліфікації посадових осіб місцевого самоврядування та підготовки молоді для служби в органах місцевого самоврядування.</w:t>
      </w:r>
    </w:p>
    <w:p w:rsidR="00AF3E28" w:rsidRDefault="00AF3E28" w:rsidP="00AF3E28">
      <w:pPr>
        <w:pStyle w:val="3"/>
        <w:ind w:left="-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Запровадження:</w:t>
      </w:r>
    </w:p>
    <w:p w:rsidR="00AF3E28" w:rsidRDefault="00AF3E28" w:rsidP="00AF3E28">
      <w:pPr>
        <w:pStyle w:val="3"/>
        <w:ind w:left="-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премій, Почесних грамот та Грамот, Подяки міського голови та інших.</w:t>
      </w:r>
    </w:p>
    <w:p w:rsidR="00AF3E28" w:rsidRDefault="00AF3E28" w:rsidP="00AF3E28">
      <w:pPr>
        <w:pStyle w:val="3"/>
        <w:ind w:left="-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Забезпечення відзначення депутатів органів місцевого самоврядування у зв’язку з ювілейними та пам’ятними датами (придбання квітів, цінних подарунків та інше).</w:t>
      </w:r>
    </w:p>
    <w:p w:rsidR="00AF3E28" w:rsidRDefault="00AF3E28" w:rsidP="00AF3E28">
      <w:pPr>
        <w:pStyle w:val="3"/>
        <w:ind w:left="-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Видатки на привітання видатних осіб, керівників установ та організацій з нагоди пам’ятних дат, ювілеїв, професійних свят (придбання квітів, цінних подарунків та інше).</w:t>
      </w:r>
    </w:p>
    <w:p w:rsidR="00AF3E28" w:rsidRDefault="00AF3E28" w:rsidP="00AF3E28">
      <w:pPr>
        <w:pStyle w:val="3"/>
        <w:ind w:left="-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7. Вшанування пам’яті видатних осіб, депутатів органів місцевого самоврядування в т. ч. колишніх, керівників районних та обласних установ та організацій в т. ч. колишніх (придбання ритуальних вінків, квітів та інше).</w:t>
      </w:r>
    </w:p>
    <w:p w:rsidR="00AF3E28" w:rsidRDefault="00AF3E28" w:rsidP="00AF3E28">
      <w:pPr>
        <w:pStyle w:val="3"/>
        <w:ind w:left="-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8. </w:t>
      </w:r>
      <w:r>
        <w:rPr>
          <w:sz w:val="26"/>
          <w:szCs w:val="26"/>
        </w:rPr>
        <w:t>Інші заходи, спрямовані на підтримку депутатського корпусу міської ради, керівників органів місцевого самоврядування у випадках тривалого захворювання, надання допомоги їхнім сім’ям у разі смерті та інших випадках, викликаних непередбачуваними обставинами.</w:t>
      </w:r>
    </w:p>
    <w:p w:rsidR="00AF3E28" w:rsidRDefault="00AF3E28" w:rsidP="00AF3E28">
      <w:pPr>
        <w:pStyle w:val="3"/>
        <w:ind w:left="-426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9. </w:t>
      </w:r>
      <w:r>
        <w:rPr>
          <w:sz w:val="26"/>
          <w:szCs w:val="26"/>
        </w:rPr>
        <w:t>Проведення урочистих заходів до Дня місцевого самоврядування.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Представницькі витрати, пов’язані з прийомом і обслуговуванням іноземних представників і делегацій, партнерів, представників підприємств, установ, організацій інших районів та областей із метою здійснення міжнародних </w:t>
      </w:r>
      <w:proofErr w:type="spellStart"/>
      <w:r>
        <w:rPr>
          <w:sz w:val="26"/>
          <w:szCs w:val="26"/>
        </w:rPr>
        <w:t>зв’язків</w:t>
      </w:r>
      <w:proofErr w:type="spellEnd"/>
      <w:r>
        <w:rPr>
          <w:sz w:val="26"/>
          <w:szCs w:val="26"/>
        </w:rPr>
        <w:t>, встановлення взаємовигідного міжнародного, транскордонного співробітництва та вирішення питань, віднесених до компетенції органів місцевого самоврядування: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на проведення офіційного прийому представників (</w:t>
      </w:r>
      <w:r w:rsidR="00265AEA">
        <w:rPr>
          <w:sz w:val="26"/>
          <w:szCs w:val="26"/>
        </w:rPr>
        <w:t xml:space="preserve">послуги з харчування, </w:t>
      </w:r>
      <w:proofErr w:type="spellStart"/>
      <w:r w:rsidR="00265AEA">
        <w:rPr>
          <w:sz w:val="26"/>
          <w:szCs w:val="26"/>
        </w:rPr>
        <w:t>кейтерінг</w:t>
      </w:r>
      <w:proofErr w:type="spellEnd"/>
      <w:r>
        <w:rPr>
          <w:sz w:val="26"/>
          <w:szCs w:val="26"/>
        </w:rPr>
        <w:t>);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65AEA">
        <w:rPr>
          <w:sz w:val="26"/>
          <w:szCs w:val="26"/>
        </w:rPr>
        <w:t> </w:t>
      </w:r>
      <w:r>
        <w:rPr>
          <w:sz w:val="26"/>
          <w:szCs w:val="26"/>
        </w:rPr>
        <w:t>транспортне забезпечення представників (автотранспортні послуги</w:t>
      </w:r>
      <w:r w:rsidR="00265AEA">
        <w:rPr>
          <w:sz w:val="26"/>
          <w:szCs w:val="26"/>
        </w:rPr>
        <w:t>, послуги з перевезення</w:t>
      </w:r>
      <w:r>
        <w:rPr>
          <w:sz w:val="26"/>
          <w:szCs w:val="26"/>
        </w:rPr>
        <w:t>);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заходи культурної програми;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придбання сувенірної продукції для представників іноземних делегацій;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буфетне обслуговування під час переговорів;</w:t>
      </w:r>
    </w:p>
    <w:p w:rsidR="00265AEA" w:rsidRDefault="00265AEA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- проживання іноземних делегацій, та представників міст-партнерів;</w:t>
      </w:r>
    </w:p>
    <w:p w:rsidR="00265AEA" w:rsidRDefault="00265AEA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оренда приміщень, </w:t>
      </w:r>
      <w:proofErr w:type="spellStart"/>
      <w:r>
        <w:rPr>
          <w:sz w:val="26"/>
          <w:szCs w:val="26"/>
        </w:rPr>
        <w:t>конференцзалів</w:t>
      </w:r>
      <w:proofErr w:type="spellEnd"/>
      <w:r>
        <w:rPr>
          <w:sz w:val="26"/>
          <w:szCs w:val="26"/>
        </w:rPr>
        <w:t>;</w:t>
      </w:r>
    </w:p>
    <w:p w:rsidR="00265AEA" w:rsidRDefault="00265AEA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друк </w:t>
      </w:r>
      <w:proofErr w:type="spellStart"/>
      <w:r>
        <w:rPr>
          <w:sz w:val="26"/>
          <w:szCs w:val="26"/>
        </w:rPr>
        <w:t>промоційних</w:t>
      </w:r>
      <w:proofErr w:type="spellEnd"/>
      <w:r>
        <w:rPr>
          <w:sz w:val="26"/>
          <w:szCs w:val="26"/>
        </w:rPr>
        <w:t xml:space="preserve"> матеріалів;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інші випадки. 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Забезпечення необхідних умов для участі представників міської ради та депутатів міської ради в заходах, які сприяють зміцненню міжнародних відносин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поїздка за кордон (автотранспортні послуги, видатки на відрядження та проживання, витрати при перетині кордону, придбання сувенірної продукції та інше).</w:t>
      </w:r>
    </w:p>
    <w:p w:rsidR="00265AEA" w:rsidRDefault="00265AEA" w:rsidP="00AF3E28">
      <w:pPr>
        <w:ind w:left="-426"/>
        <w:jc w:val="both"/>
        <w:rPr>
          <w:sz w:val="26"/>
          <w:szCs w:val="26"/>
        </w:rPr>
      </w:pPr>
    </w:p>
    <w:p w:rsidR="00AF3E28" w:rsidRDefault="00AF3E28" w:rsidP="00AF3E28">
      <w:pPr>
        <w:numPr>
          <w:ilvl w:val="0"/>
          <w:numId w:val="2"/>
        </w:numPr>
        <w:autoSpaceDE/>
        <w:adjustRightInd/>
        <w:spacing w:line="240" w:lineRule="auto"/>
        <w:ind w:left="-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Координація та контроль за ходом виконання Програми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Фінансове забезпечення Програми здійснюється в межах асигнувань, передбачених в міському бюджеті.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Координацію і відповідальність за виконанням Програми несе виконавчий комітет міської ради, який щорічно звітує перед депутатським корпусом міської ради.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Програми здійснює постійна депутатська комісія з питань бюджету, фінансів, інвестицій, соціально-економічного розвитку, планування, освіти, охорони здоров’я, культури, спорту, соціального захисту населення, роботи з молоддю, міжнародної співпраці, зовнішньоекономічної діяльності та туризму.</w:t>
      </w:r>
    </w:p>
    <w:p w:rsidR="00AF3E28" w:rsidRDefault="00AF3E28" w:rsidP="00AF3E2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Виконання програми здійснюється шляхом реалізації її заходів і завдань виконавцями, зазначеними у даній Програмі.</w:t>
      </w:r>
    </w:p>
    <w:p w:rsidR="00AF3E28" w:rsidRDefault="00AF3E28" w:rsidP="00AF3E28">
      <w:pPr>
        <w:ind w:left="-426"/>
        <w:jc w:val="both"/>
        <w:rPr>
          <w:b/>
          <w:sz w:val="26"/>
          <w:szCs w:val="26"/>
        </w:rPr>
      </w:pPr>
    </w:p>
    <w:p w:rsidR="00343D8A" w:rsidRDefault="00AF3E28" w:rsidP="00265AEA">
      <w:pPr>
        <w:shd w:val="clear" w:color="auto" w:fill="FFFFFF"/>
        <w:ind w:left="-426"/>
        <w:jc w:val="both"/>
      </w:pPr>
      <w:r>
        <w:rPr>
          <w:b/>
          <w:sz w:val="26"/>
          <w:szCs w:val="26"/>
        </w:rPr>
        <w:t xml:space="preserve">            Секретар ради                                                                       Марта ГРЕНЬ</w:t>
      </w:r>
    </w:p>
    <w:sectPr w:rsidR="00343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33F"/>
    <w:multiLevelType w:val="hybridMultilevel"/>
    <w:tmpl w:val="7A12AA26"/>
    <w:lvl w:ilvl="0" w:tplc="F924A3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E066D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205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E077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6676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7837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7ACB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76BB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B22E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73851634"/>
    <w:multiLevelType w:val="hybridMultilevel"/>
    <w:tmpl w:val="79C4D89A"/>
    <w:lvl w:ilvl="0" w:tplc="50903DD4">
      <w:start w:val="6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FA"/>
    <w:rsid w:val="000542FA"/>
    <w:rsid w:val="00265AEA"/>
    <w:rsid w:val="00AF3E28"/>
    <w:rsid w:val="00D92EBB"/>
    <w:rsid w:val="00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0933-1C01-4C2B-A15A-ABEC220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28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F3E28"/>
    <w:pPr>
      <w:keepNext/>
      <w:spacing w:line="240" w:lineRule="auto"/>
      <w:outlineLvl w:val="0"/>
    </w:pPr>
    <w:rPr>
      <w:b/>
      <w:bCs/>
      <w:spacing w:val="34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F3E28"/>
    <w:pPr>
      <w:keepNext/>
      <w:spacing w:line="259" w:lineRule="auto"/>
      <w:outlineLvl w:val="1"/>
    </w:pPr>
    <w:rPr>
      <w:spacing w:val="3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28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3E28"/>
    <w:rPr>
      <w:rFonts w:ascii="Times New Roman" w:eastAsia="Times New Roman" w:hAnsi="Times New Roman" w:cs="Times New Roman"/>
      <w:spacing w:val="34"/>
      <w:sz w:val="28"/>
      <w:lang w:eastAsia="ru-RU"/>
    </w:rPr>
  </w:style>
  <w:style w:type="paragraph" w:styleId="a3">
    <w:name w:val="Body Text Indent"/>
    <w:basedOn w:val="a"/>
    <w:link w:val="a4"/>
    <w:semiHidden/>
    <w:unhideWhenUsed/>
    <w:rsid w:val="00AF3E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F3E28"/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AF3E28"/>
    <w:pPr>
      <w:widowControl/>
      <w:autoSpaceDE/>
      <w:autoSpaceDN/>
      <w:adjustRightInd/>
      <w:spacing w:after="120" w:line="240" w:lineRule="auto"/>
      <w:ind w:left="283"/>
      <w:jc w:val="left"/>
    </w:pPr>
    <w:rPr>
      <w:sz w:val="16"/>
      <w:szCs w:val="16"/>
      <w:lang w:eastAsia="uk-UA"/>
    </w:rPr>
  </w:style>
  <w:style w:type="character" w:customStyle="1" w:styleId="30">
    <w:name w:val="Основной текст с отступом 3 Знак"/>
    <w:basedOn w:val="a0"/>
    <w:link w:val="3"/>
    <w:semiHidden/>
    <w:rsid w:val="00AF3E28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No Spacing"/>
    <w:uiPriority w:val="1"/>
    <w:qFormat/>
    <w:rsid w:val="00AF3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ListParagraph">
    <w:name w:val="List Paragraph"/>
    <w:basedOn w:val="a"/>
    <w:rsid w:val="00AF3E28"/>
    <w:pPr>
      <w:widowControl/>
      <w:adjustRightInd/>
      <w:spacing w:line="240" w:lineRule="auto"/>
      <w:ind w:left="720"/>
      <w:contextualSpacing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6091</Words>
  <Characters>3473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2025-01-15T12:09:00Z</dcterms:created>
  <dcterms:modified xsi:type="dcterms:W3CDTF">2025-01-15T12:18:00Z</dcterms:modified>
</cp:coreProperties>
</file>