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alse" stroked="false" o:spt="75.0" o:preferrelative="true"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alseValue" gradientshapeok="true"/>
            <o:lock v:ext="edit" aspectratio="true"/>
          </v:shapetype>
        </w:pic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2628900</wp:posOffset>
            </wp:positionH>
            <wp:positionV relativeFrom="paragraph">
              <wp:posOffset>0</wp:posOffset>
            </wp:positionV>
            <wp:extent cx="670560" cy="777240"/>
            <wp:effectExtent b="0" l="0" r="0" t="0"/>
            <wp:wrapSquare wrapText="right" distB="0" distT="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70560" cy="777240"/>
                    </a:xfrm>
                    <a:prstGeom prst="rect"/>
                    <a:ln/>
                  </pic:spPr>
                </pic:pic>
              </a:graphicData>
            </a:graphic>
          </wp:anchor>
        </w:drawing>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0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32"/>
          <w:szCs w:val="32"/>
        </w:rPr>
      </w:pPr>
      <w:r w:rsidDel="00000000" w:rsidR="00000000" w:rsidRPr="00000000">
        <w:rPr>
          <w:rtl w:val="0"/>
        </w:rPr>
      </w:r>
    </w:p>
    <w:p w:rsidR="00000000" w:rsidDel="00000000" w:rsidP="00000000" w:rsidRDefault="00000000" w:rsidRPr="00000000" w14:paraId="0000000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32"/>
          <w:szCs w:val="32"/>
        </w:rPr>
      </w:pPr>
      <w:r w:rsidDel="00000000" w:rsidR="00000000" w:rsidRPr="00000000">
        <w:rPr>
          <w:rtl w:val="0"/>
        </w:rPr>
      </w:r>
    </w:p>
    <w:p w:rsidR="00000000" w:rsidDel="00000000" w:rsidP="00000000" w:rsidRDefault="00000000" w:rsidRPr="00000000" w14:paraId="0000000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Жовківська міська рада</w:t>
      </w:r>
    </w:p>
    <w:p w:rsidR="00000000" w:rsidDel="00000000" w:rsidP="00000000" w:rsidRDefault="00000000" w:rsidRPr="00000000" w14:paraId="0000000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Львівського району Львівської області</w:t>
      </w:r>
    </w:p>
    <w:p w:rsidR="00000000" w:rsidDel="00000000" w:rsidP="00000000" w:rsidRDefault="00000000" w:rsidRPr="00000000" w14:paraId="00000008">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1305"/>
          <w:tab w:val="center" w:leader="none" w:pos="4678"/>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      82-га чергова сесія VІІІ-го демократичного скликання</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567"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   РІШЕННЯ</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8"/>
          <w:szCs w:val="28"/>
          <w:u w:val="none"/>
          <w:shd w:fill="auto" w:val="clear"/>
          <w:vertAlign w:val="baseline"/>
          <w:rtl w:val="0"/>
        </w:rPr>
        <w:t xml:space="preserve">                                                              </w:t>
      </w:r>
      <w:bookmarkStart w:colFirst="0" w:colLast="0" w:name="bookmark=id.ynkvh3gqnmqe" w:id="0"/>
      <w:bookmarkEnd w:id="0"/>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15"/>
        </w:tabs>
        <w:spacing w:after="0" w:before="0" w:line="288" w:lineRule="auto"/>
        <w:ind w:left="-284"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від  24.08.2026 року                                     № 14                                                 м. Жовква</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Про затвердження  Комплексної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програми підтримки Збройних Сил  </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України, інших військових формувань </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та обороноздатності на 2026 рік в новій редакції</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highlight w:val="white"/>
          <w:u w:val="none"/>
          <w:vertAlign w:val="baseline"/>
          <w:rtl w:val="0"/>
        </w:rPr>
        <w:t xml:space="preserve">У зв’язку зі складною си</w:t>
      </w:r>
      <w:bookmarkStart w:colFirst="0" w:colLast="0" w:name="bookmark=id.gjdgxs" w:id="1"/>
      <w:bookmarkEnd w:id="1"/>
      <w:r w:rsidDel="00000000" w:rsidR="00000000" w:rsidRPr="00000000">
        <w:rPr>
          <w:rFonts w:ascii="Times New Roman" w:cs="Times New Roman" w:eastAsia="Times New Roman" w:hAnsi="Times New Roman"/>
          <w:b w:val="0"/>
          <w:bCs w:val="0"/>
          <w:i w:val="0"/>
          <w:iCs w:val="0"/>
          <w:smallCaps w:val="0"/>
          <w:strike w:val="0"/>
          <w:color w:val="000000"/>
          <w:sz w:val="26"/>
          <w:szCs w:val="26"/>
          <w:highlight w:val="white"/>
          <w:u w:val="none"/>
          <w:vertAlign w:val="baseline"/>
          <w:rtl w:val="0"/>
        </w:rPr>
        <w:t xml:space="preserve">туацією нашої держави та відкритою агресією з боку російської федерації, з метою підтримання бойової та мобілізаційної готовності Збройних Сил України та інших військових формувань України на рівні, що гарантує адекватне реагування на загрози національній безпеці держави,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в</w:t>
      </w:r>
      <w:r w:rsidDel="00000000" w:rsidR="00000000" w:rsidRPr="00000000">
        <w:rPr>
          <w:rFonts w:ascii="Times New Roman" w:cs="Times New Roman" w:eastAsia="Times New Roman" w:hAnsi="Times New Roman"/>
          <w:b w:val="0"/>
          <w:bCs w:val="0"/>
          <w:i w:val="0"/>
          <w:iCs w:val="0"/>
          <w:smallCaps w:val="0"/>
          <w:strike w:val="0"/>
          <w:color w:val="000000"/>
          <w:sz w:val="26"/>
          <w:szCs w:val="26"/>
          <w:highlight w:val="white"/>
          <w:u w:val="none"/>
          <w:vertAlign w:val="baseline"/>
          <w:rtl w:val="0"/>
        </w:rPr>
        <w:t xml:space="preserve">ідповідно до Законів України «Про оборону»,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«Про основи національного спротиву», керуючись пунктом 22 частини 1 статті 26 Закону України «Про місцеве самоврядування в Україні», статтею 85 Бюджетного Кодексу України, враховуючи висновок постійної депутатської комісії з питань планування соціально-економічного розвитку, бюджету, фінансів, інвестицій, торгівлі, послуг та розвитку підприємництва,</w:t>
      </w:r>
      <w:r w:rsidDel="00000000" w:rsidR="00000000" w:rsidRPr="00000000">
        <w:rPr>
          <w:rFonts w:ascii="Times New Roman" w:cs="Times New Roman" w:eastAsia="Times New Roman" w:hAnsi="Times New Roman"/>
          <w:b w:val="0"/>
          <w:bCs w:val="0"/>
          <w:i w:val="1"/>
          <w:iCs w:val="1"/>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Жовківська міська рада</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ВИРІШИЛА:</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6"/>
          <w:szCs w:val="26"/>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Затвердити Комплексну програму підтримки Збройних Сил України, інших військових формувань та обороноздатності на 2026 рік в новій редакції (далі – Комплексна програма), що додається. </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6"/>
          <w:szCs w:val="26"/>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Фінансовому відділу Жовківської міської ради Львівського району Львівської області провести фінансування Комплексної програми в межах бюджетних призначень місцевого бюджету Жовківської міської територіальної громади на 2026 рік.</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6"/>
          <w:szCs w:val="26"/>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Контроль за виконанням рішення покласти на постійну депутатську комісію з питань  планування соціально-економічного розвитку, бюджету, фінансів, інвестицій, торгівлі, послуг та  розвитку  підприємництва (Кожушко М. П.).</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Міський голова                                                                                  Олег ВОЛЬСЬКИЙ</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552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ЗАТВЕРДЖЕНО</w:t>
      </w: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5529"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Рішенням сесії </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5529"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Жовківської міської ради </w:t>
      </w: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5529"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від 24.08.2026 року № 14  </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6"/>
          <w:szCs w:val="36"/>
          <w:u w:val="none"/>
          <w:shd w:fill="auto" w:val="clear"/>
          <w:vertAlign w:val="baseline"/>
          <w:rtl w:val="0"/>
        </w:rPr>
        <w:t xml:space="preserve">Комплексна</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6"/>
          <w:szCs w:val="36"/>
          <w:u w:val="none"/>
          <w:shd w:fill="auto" w:val="clear"/>
          <w:vertAlign w:val="baseline"/>
          <w:rtl w:val="0"/>
        </w:rPr>
        <w:t xml:space="preserve">програма підтримки Збройних Сил</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6"/>
          <w:szCs w:val="36"/>
          <w:u w:val="none"/>
          <w:shd w:fill="auto" w:val="clear"/>
          <w:vertAlign w:val="baseline"/>
          <w:rtl w:val="0"/>
        </w:rPr>
        <w:t xml:space="preserve">України, інших військових формувань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6"/>
          <w:szCs w:val="36"/>
          <w:u w:val="none"/>
          <w:shd w:fill="auto" w:val="clear"/>
          <w:vertAlign w:val="baseline"/>
          <w:rtl w:val="0"/>
        </w:rPr>
        <w:t xml:space="preserve">та обороноздатності на 2026 рік в новій редакції</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hanging="3"/>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C">
      <w:pPr>
        <w:widowControl w:val="1"/>
        <w:tabs>
          <w:tab w:val="left" w:leader="none" w:pos="600"/>
          <w:tab w:val="left" w:leader="none" w:pos="1830"/>
          <w:tab w:val="left" w:leader="none" w:pos="3165"/>
        </w:tabs>
        <w:spacing w:before="0" w:line="288" w:lineRule="auto"/>
        <w:ind w:firstLine="0"/>
        <w:rPr>
          <w:sz w:val="26"/>
          <w:szCs w:val="26"/>
        </w:rPr>
      </w:pPr>
      <w:r w:rsidDel="00000000" w:rsidR="00000000" w:rsidRPr="00000000">
        <w:rPr>
          <w:rtl w:val="0"/>
        </w:rPr>
      </w:r>
    </w:p>
    <w:tbl>
      <w:tblPr>
        <w:tblStyle w:val="Table1"/>
        <w:tblW w:w="10355.0" w:type="dxa"/>
        <w:jc w:val="left"/>
        <w:tblInd w:w="-284.0" w:type="dxa"/>
        <w:tblLayout w:type="fixed"/>
        <w:tblLook w:val="0000"/>
      </w:tblPr>
      <w:tblGrid>
        <w:gridCol w:w="10355"/>
        <w:tblGridChange w:id="0">
          <w:tblGrid>
            <w:gridCol w:w="10355"/>
          </w:tblGrid>
        </w:tblGridChange>
      </w:tblGrid>
      <w:tr>
        <w:trPr>
          <w:cantSplit w:val="0"/>
          <w:trHeight w:val="80" w:hRule="atLeast"/>
          <w:tblHeader w:val="0"/>
        </w:trPr>
        <w:tc>
          <w:tcPr>
            <w:vAlign w:val="top"/>
          </w:tcPr>
          <w:p w:rsidR="00000000" w:rsidDel="00000000" w:rsidP="00000000" w:rsidRDefault="00000000" w:rsidRPr="00000000" w14:paraId="0000003D">
            <w:pPr>
              <w:widowControl w:val="1"/>
              <w:spacing w:before="0" w:line="288" w:lineRule="auto"/>
              <w:ind w:firstLine="0"/>
              <w:jc w:val="center"/>
              <w:rPr>
                <w:b w:val="1"/>
                <w:bCs w:val="1"/>
              </w:rPr>
            </w:pPr>
            <w:r w:rsidDel="00000000" w:rsidR="00000000" w:rsidRPr="00000000">
              <w:rPr>
                <w:b w:val="1"/>
                <w:bCs w:val="1"/>
                <w:rtl w:val="0"/>
              </w:rPr>
              <w:t xml:space="preserve">м. Жовква</w:t>
            </w:r>
          </w:p>
          <w:p w:rsidR="00000000" w:rsidDel="00000000" w:rsidP="00000000" w:rsidRDefault="00000000" w:rsidRPr="00000000" w14:paraId="0000003E">
            <w:pPr>
              <w:widowControl w:val="1"/>
              <w:spacing w:before="0" w:line="288" w:lineRule="auto"/>
              <w:ind w:firstLine="0"/>
              <w:jc w:val="center"/>
              <w:rPr>
                <w:b w:val="1"/>
                <w:bCs w:val="1"/>
                <w:sz w:val="26"/>
                <w:szCs w:val="26"/>
              </w:rPr>
            </w:pPr>
            <w:r w:rsidDel="00000000" w:rsidR="00000000" w:rsidRPr="00000000">
              <w:rPr>
                <w:b w:val="1"/>
                <w:bCs w:val="1"/>
                <w:rtl w:val="0"/>
              </w:rPr>
              <w:t xml:space="preserve">2026 рік</w:t>
            </w:r>
            <w:r w:rsidDel="00000000" w:rsidR="00000000" w:rsidRPr="00000000">
              <w:rPr>
                <w:rtl w:val="0"/>
              </w:rPr>
            </w:r>
          </w:p>
        </w:tc>
      </w:tr>
    </w:tbl>
    <w:p w:rsidR="00000000" w:rsidDel="00000000" w:rsidP="00000000" w:rsidRDefault="00000000" w:rsidRPr="00000000" w14:paraId="0000003F">
      <w:pPr>
        <w:widowControl w:val="1"/>
        <w:spacing w:before="0" w:line="288" w:lineRule="auto"/>
        <w:ind w:firstLine="0"/>
        <w:jc w:val="left"/>
        <w:rPr>
          <w:sz w:val="20"/>
          <w:szCs w:val="20"/>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1830"/>
          <w:tab w:val="left" w:leader="none" w:pos="3165"/>
        </w:tabs>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tbl>
      <w:tblPr>
        <w:tblStyle w:val="Table2"/>
        <w:tblW w:w="10799.0" w:type="dxa"/>
        <w:jc w:val="left"/>
        <w:tblInd w:w="-284.0" w:type="dxa"/>
        <w:tblLayout w:type="fixed"/>
        <w:tblLook w:val="0000"/>
      </w:tblPr>
      <w:tblGrid>
        <w:gridCol w:w="10355"/>
        <w:gridCol w:w="222"/>
        <w:gridCol w:w="222"/>
        <w:tblGridChange w:id="0">
          <w:tblGrid>
            <w:gridCol w:w="10355"/>
            <w:gridCol w:w="222"/>
            <w:gridCol w:w="222"/>
          </w:tblGrid>
        </w:tblGridChange>
      </w:tblGrid>
      <w:tr>
        <w:trPr>
          <w:cantSplit w:val="0"/>
          <w:trHeight w:val="80" w:hRule="atLeast"/>
          <w:tblHeader w:val="0"/>
        </w:trPr>
        <w:tc>
          <w:tcPr>
            <w:vAlign w:val="top"/>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tc>
      </w:tr>
    </w:tb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1"/>
          <w:bCs w:val="1"/>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І.</w:t>
      </w: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ПАСПОРТ</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Комплексної програми підтримки Збройних Сил України,</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інших військових формувань та обороноздатності на 2026 рік в новій редакції</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6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bl>
      <w:tblPr>
        <w:tblStyle w:val="Table3"/>
        <w:tblW w:w="9639.0" w:type="dxa"/>
        <w:jc w:val="left"/>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567"/>
        <w:gridCol w:w="3686"/>
        <w:gridCol w:w="5386"/>
        <w:tblGridChange w:id="0">
          <w:tblGrid>
            <w:gridCol w:w="567"/>
            <w:gridCol w:w="3686"/>
            <w:gridCol w:w="5386"/>
          </w:tblGrid>
        </w:tblGridChange>
      </w:tblGrid>
      <w:tr>
        <w:trPr>
          <w:cantSplit w:val="0"/>
          <w:trHeight w:val="698" w:hRule="atLeast"/>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Ініціатор розроблення Комплексної програми</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Жовківська міська рада Львівського району Львівської області</w:t>
            </w:r>
          </w:p>
        </w:tc>
      </w:tr>
      <w:tr>
        <w:trPr>
          <w:cantSplit w:val="0"/>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1830"/>
                <w:tab w:val="left" w:leader="none" w:pos="3165"/>
              </w:tabs>
              <w:spacing w:after="0" w:before="0" w:line="288" w:lineRule="auto"/>
              <w:ind w:left="0" w:right="-10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Рішення Жовківської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1830"/>
                <w:tab w:val="left" w:leader="none" w:pos="3165"/>
              </w:tabs>
              <w:spacing w:after="0" w:before="0" w:line="288" w:lineRule="auto"/>
              <w:ind w:left="0" w:right="-10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міської ради про погодження Комплексної програми</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1830"/>
                <w:tab w:val="left" w:leader="none" w:pos="3165"/>
              </w:tabs>
              <w:spacing w:after="0" w:before="0" w:line="288" w:lineRule="auto"/>
              <w:ind w:left="0" w:right="-10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Рішення Жовківської міської ради від «24»</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1830"/>
                <w:tab w:val="left" w:leader="none" w:pos="3165"/>
              </w:tabs>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серпня 2026 року № 14</w:t>
            </w:r>
          </w:p>
        </w:tc>
      </w:tr>
      <w:tr>
        <w:trPr>
          <w:cantSplit w:val="0"/>
          <w:trHeight w:val="652" w:hRule="atLeast"/>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Розробник Комплексної програми</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1830"/>
                <w:tab w:val="left" w:leader="none" w:pos="3165"/>
              </w:tabs>
              <w:spacing w:after="0" w:before="0" w:line="288" w:lineRule="auto"/>
              <w:ind w:left="0" w:right="-10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Жовківська міська рада Львівського району Львівської області</w:t>
            </w:r>
          </w:p>
        </w:tc>
      </w:tr>
      <w:tr>
        <w:trPr>
          <w:cantSplit w:val="0"/>
          <w:trHeight w:val="80" w:hRule="atLeast"/>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Співрозробники Комплексної програми</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Фінансовий відділ Жовківської міської ради Львівського району Львівської області</w:t>
            </w:r>
          </w:p>
        </w:tc>
      </w:tr>
      <w:tr>
        <w:trPr>
          <w:cantSplit w:val="0"/>
          <w:trHeight w:val="652" w:hRule="atLeast"/>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Відповідальний виконавець Комплексної програми</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Військові частини Збройних Сил України та інші військові формування, утворені відповідно до законів України</w:t>
            </w:r>
          </w:p>
        </w:tc>
      </w:tr>
      <w:tr>
        <w:trPr>
          <w:cantSplit w:val="0"/>
          <w:trHeight w:val="652" w:hRule="atLeast"/>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Головний розпорядник коштів</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Фінансовий відділ Жовківської міської ради Львівського району Львівської області</w:t>
            </w:r>
          </w:p>
        </w:tc>
      </w:tr>
      <w:tr>
        <w:trPr>
          <w:cantSplit w:val="0"/>
          <w:trHeight w:val="652" w:hRule="atLeast"/>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Учасники  Комплексної програми</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6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7vc1sd8f4sjp" w:id="2"/>
            <w:bookmarkEnd w:id="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Військові частини Збройних Сил України та інші військові формування, утворені відповідно до законів України, Жовківська міська рада Львівського району Львівської області, Фінансовий відділ Жовківської міської ради Львівського району Львівської області</w:t>
            </w:r>
          </w:p>
        </w:tc>
      </w:tr>
      <w:tr>
        <w:trPr>
          <w:cantSplit w:val="0"/>
          <w:trHeight w:val="652" w:hRule="atLeast"/>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Термін реалізації Комплексної програми</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6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tc>
      </w:tr>
      <w:tr>
        <w:trPr>
          <w:cantSplit w:val="0"/>
          <w:trHeight w:val="127" w:hRule="atLeast"/>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Етапи виконання Комплексної програми</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Перелік місцевих бюджетів, які беруть участь у виконанні Комплексної програми</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tc>
      </w:tr>
      <w:tr>
        <w:trPr>
          <w:cantSplit w:val="0"/>
          <w:trHeight w:val="1256" w:hRule="atLeast"/>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Загальний обсяг фінансових ресурсів, необхідних для реалізації Комплексної програми, всього, грн; у тому числі:</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20 798 279,00</w:t>
            </w:r>
            <w:r w:rsidDel="00000000" w:rsidR="00000000" w:rsidRPr="00000000">
              <w:rPr>
                <w:rtl w:val="0"/>
              </w:rPr>
            </w:r>
          </w:p>
        </w:tc>
      </w:tr>
      <w:tr>
        <w:trPr>
          <w:cantSplit w:val="0"/>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Коштів місцевого бюджету Жовківської міської територіальної громади</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20 798 279,00</w:t>
            </w:r>
            <w:r w:rsidDel="00000000" w:rsidR="00000000" w:rsidRPr="00000000">
              <w:rPr>
                <w:rtl w:val="0"/>
              </w:rPr>
            </w:r>
          </w:p>
        </w:tc>
      </w:tr>
      <w:tr>
        <w:trPr>
          <w:cantSplit w:val="0"/>
          <w:tblHeader w:val="0"/>
        </w:trPr>
        <w:tc>
          <w:tcPr>
            <w:tcBorders>
              <w:top w:color="000000" w:space="0" w:sz="4" w:val="single"/>
              <w:bottom w:color="000000" w:space="0" w:sz="4" w:val="single"/>
              <w:right w:color="000000" w:space="0" w:sz="4" w:val="single"/>
            </w:tcBorders>
            <w:vAlign w:val="top"/>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Коштів інших джерел</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1830"/>
          <w:tab w:val="left" w:leader="none" w:pos="3165"/>
        </w:tabs>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1830"/>
          <w:tab w:val="left" w:leader="none" w:pos="3165"/>
        </w:tabs>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567"/>
        <w:jc w:val="center"/>
        <w:rPr>
          <w:rFonts w:ascii="Times New Roman" w:cs="Times New Roman" w:eastAsia="Times New Roman" w:hAnsi="Times New Roman"/>
          <w:b w:val="0"/>
          <w:bCs w:val="0"/>
          <w:i w:val="0"/>
          <w:iCs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567"/>
        <w:jc w:val="center"/>
        <w:rPr>
          <w:rFonts w:ascii="Times New Roman" w:cs="Times New Roman" w:eastAsia="Times New Roman" w:hAnsi="Times New Roman"/>
          <w:b w:val="0"/>
          <w:bCs w:val="0"/>
          <w:i w:val="0"/>
          <w:iCs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highlight w:val="white"/>
          <w:u w:val="none"/>
          <w:vertAlign w:val="baseline"/>
          <w:rtl w:val="0"/>
        </w:rPr>
        <w:t xml:space="preserve">ІІ. Загальна частина</w:t>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74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Комплексну програму підтримки Збройних Сил України, інших військових формувань та обороноздатності на 2026 рік в новій редакції (далі – Комплексна програма) розроблено на основі законів України «Про правовий режим воєнного стану», «Про оборону України», «Про Збройні Сили України», «Про мобілізаційну підготовку та мобілізацію», «Про місцеве самоврядування в Україні», Бюджетного Кодексу України.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80" w:firstLine="74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Основне завдання, яке ставиться перед органами місцевого самоврядування – організація взаємодії з Військовими частинами Збройних Сил України та іншими військовими формуваннями, утвореними відповідно до законів України, надання посильної допомоги у матеріально-технічному забезпеченні.</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779"/>
        </w:tabs>
        <w:spacing w:after="0" w:before="0" w:line="276" w:lineRule="auto"/>
        <w:ind w:left="0" w:right="-2"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Основним принципом Комплексної програми є підтримка Військових частин Збройних сил України та інших військових формувань, утворених відповідно до законів України, сприяння обороноздатності та мобілізаційної готовності, надання фінансової допомоги для покращення матеріально-технічної бази.</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779"/>
        </w:tabs>
        <w:spacing w:after="0" w:before="0" w:line="276" w:lineRule="auto"/>
        <w:ind w:left="0" w:right="-2"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Прийняття Комплексної програми направлене на забезпечення ефективної відсічі збройній агресії російської федерації проти України та забезпечення національної безпеки, усунення загроз небезпеки державній незалежності України, її територіальній цілісності, підтримання на належному рівні бойової готовності Військових частин Збройних сил України та інших військових формувань, утворених відповідно до законів України.</w:t>
      </w:r>
    </w:p>
    <w:bookmarkStart w:colFirst="0" w:colLast="0" w:name="bookmark=id.xlt7256s1oqa" w:id="3"/>
    <w:bookmarkEnd w:id="3"/>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779"/>
        </w:tabs>
        <w:spacing w:after="0" w:before="0" w:line="240" w:lineRule="auto"/>
        <w:ind w:left="0" w:right="-2"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108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ІІІ. Мета Комплексної програми</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Метою Комплексної програми є сприяння покращенню матеріально-технічного забезпечення Військових частин Збройних Сил України та інших військових формувань, утворених відповідно до законів України, підвищення рівня бойової готовності до виконання бойових завдань у період воєнного стану в Україні, зміцнення морально-психологічної готовності військовослужбовців в ході несення служби для захисту України.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IV. Завдання Комплексної програми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Налагодження взаємодії органу місцевого самоврядування у сфері зміцнення обороноздатності України, надання матеріально-фінансової допомоги Військовим частинам Збройних Сил України та іншим військовим формуванням, утвореним відповідно до законів України, для виконання завдань по підвищенню бойової готовності особового складу до виконання бойових завдань.</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Забезпечення всебічної соціальної підтримки військовослужбовців та передбачення виділення окремих коштів на місцевому рівні.</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Формування позитивного ставлення до захисників України, членів їх родин, покращення патріотичного виховання молоді, популяризація військової служби в Збройних Силах України.</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Перелік заходів та завдань на виконання Комплексної програми наведено у додатку 1.</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V. Результати реалізації Комплексної програми</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Виконання визначених Комплексною програмою заходів та завдань підвищить рівень бойової готовності військовослужбовців, зміцнить військову дисципліну та морально-психологічний клімат у підрозділах Військових частин Збройних Сил України та інших військових формувань, утворених відповідно до законів України.</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Результати реалізації Програми зменшать соціальну напругу щодо вирішення забезпечення військовослужбовців, сприятиме довірі до органів місцевого самоврядування.</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VІ. Джерела фінансування Комплексної програми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Фінансування виконання заходів та завдань Комплексної програми здійснюється за рахунок коштів місцевого бюджету Жовківської міської територіальної громади та інших джерел, не заборонених чинним законодавством.</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VІІ. Координація та контроль за реалізацією Комплексної програми</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Координація та контроль за виконанням заходів та завдань Комплексної програми здійснює Жовківська міська рада Львівського району Львівської області, Фінансовий відділ Жовківської міської ради Львівського району Львівської області, командування Військових частин Збройних Сил України та інших військових формувань, утворених відповідно до законів України. Відповідальні виконавці Комплексної програми забезпечують цільове використання отриманого фінансування.</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Відповідальні виконавці Комплексної програми інформують Фінансовий відділ Жовківської міської ради про стан виконання заходів та завдань Комплексної програми та надають фінансовий звіт з копіями підтвердних документів до 25 грудня 2026 року.</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 w:right="0" w:firstLine="72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Фінансовий відділ Жовківської міської ради за підсумками бюджетного року до 01 березня 2027 року подає на розгляд сесії Жовківської міської ради звіт про стан виконання Комплексної програми. У звіті повинні міститися дані про заплановані та фактичні обсяги та джерела фінансування, виконання результативних показників у динаміці з початку дії Комплексної програми, у разі невиконання – обґрунтування причин невиконання.</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1830"/>
          <w:tab w:val="left" w:leader="none" w:pos="3165"/>
        </w:tabs>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1830"/>
          <w:tab w:val="left" w:leader="none" w:pos="3165"/>
        </w:tabs>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Секретар  ради                                                                                                          Марта ГРЕНЬ</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0065" w:right="0" w:hanging="48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0065" w:right="0" w:hanging="482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Додаток 1</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779"/>
        </w:tabs>
        <w:spacing w:after="0" w:before="0" w:line="276" w:lineRule="auto"/>
        <w:ind w:left="5527" w:right="-2"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до Комплексної програми підтримки Збройних Сил України, інших військових формувань та обороноздатності на 2026 рік в новій редакції</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779"/>
        </w:tabs>
        <w:spacing w:after="0" w:before="0" w:line="276" w:lineRule="auto"/>
        <w:ind w:left="5527" w:right="-2"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bookmarkStart w:colFirst="0" w:colLast="0" w:name="_heading=h.gjdgxs" w:id="4"/>
      <w:bookmarkEnd w:id="4"/>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Перелік заходів та завдань, ресурсне забезпечення та джерела фінансування </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Комплексної програми підтримки Збройних Сил України, інших військових формувань та обороноздатності на 2026 рік в новій редакції</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tbl>
      <w:tblPr>
        <w:tblStyle w:val="Table4"/>
        <w:tblW w:w="10131.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0"/>
        <w:gridCol w:w="1843"/>
        <w:gridCol w:w="2976"/>
        <w:gridCol w:w="1560"/>
        <w:gridCol w:w="1701"/>
        <w:gridCol w:w="1521"/>
        <w:tblGridChange w:id="0">
          <w:tblGrid>
            <w:gridCol w:w="530"/>
            <w:gridCol w:w="1843"/>
            <w:gridCol w:w="2976"/>
            <w:gridCol w:w="1560"/>
            <w:gridCol w:w="1701"/>
            <w:gridCol w:w="1521"/>
          </w:tblGrid>
        </w:tblGridChange>
      </w:tblGrid>
      <w:tr>
        <w:trPr>
          <w:cantSplit w:val="1"/>
          <w:trHeight w:val="1639" w:hRule="atLeast"/>
          <w:tblHeader w:val="0"/>
        </w:trPr>
        <w:tc>
          <w:tcPr>
            <w:vAlign w:val="top"/>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з/п</w:t>
            </w:r>
            <w:r w:rsidDel="00000000" w:rsidR="00000000" w:rsidRPr="00000000">
              <w:rPr>
                <w:rtl w:val="0"/>
              </w:rPr>
            </w:r>
          </w:p>
        </w:tc>
        <w:tc>
          <w:tcPr>
            <w:vAlign w:val="top"/>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Відповідальний</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35"/>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виконавець Комплексної програми</w:t>
            </w:r>
            <w:r w:rsidDel="00000000" w:rsidR="00000000" w:rsidRPr="00000000">
              <w:rPr>
                <w:rtl w:val="0"/>
              </w:rPr>
            </w:r>
          </w:p>
        </w:tc>
        <w:tc>
          <w:tcPr>
            <w:vAlign w:val="top"/>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Перелік заходів та завдань Комплексної програми</w:t>
            </w:r>
            <w:r w:rsidDel="00000000" w:rsidR="00000000" w:rsidRPr="00000000">
              <w:rPr>
                <w:rtl w:val="0"/>
              </w:rPr>
            </w:r>
          </w:p>
        </w:tc>
        <w:tc>
          <w:tcPr>
            <w:vAlign w:val="top"/>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Термін виконання/ Джерела  фінансування</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Тип видатків/ Обсяг фінансування, грн </w:t>
            </w:r>
            <w:r w:rsidDel="00000000" w:rsidR="00000000" w:rsidRPr="00000000">
              <w:rPr>
                <w:rtl w:val="0"/>
              </w:rPr>
            </w:r>
          </w:p>
        </w:tc>
        <w:tc>
          <w:tcPr>
            <w:vAlign w:val="top"/>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Очікуваний результат</w:t>
            </w:r>
            <w:r w:rsidDel="00000000" w:rsidR="00000000" w:rsidRPr="00000000">
              <w:rPr>
                <w:rtl w:val="0"/>
              </w:rPr>
            </w:r>
          </w:p>
        </w:tc>
      </w:tr>
      <w:tr>
        <w:trPr>
          <w:cantSplit w:val="1"/>
          <w:trHeight w:val="282" w:hRule="atLeast"/>
          <w:tblHeader w:val="0"/>
        </w:trPr>
        <w:tc>
          <w:tcPr>
            <w:vAlign w:val="top"/>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r>
      <w:tr>
        <w:trPr>
          <w:cantSplit w:val="0"/>
          <w:trHeight w:val="4580" w:hRule="atLeast"/>
          <w:tblHeader w:val="0"/>
        </w:trPr>
        <w:tc>
          <w:tcPr>
            <w:vAlign w:val="top"/>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А4010 Збройних Сил України</w:t>
            </w:r>
          </w:p>
        </w:tc>
        <w:tc>
          <w:tcPr>
            <w:vAlign w:val="top"/>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А4010 Збройних сил України для відновлення та ремонту броньованих автомобілів військового призначення, закупівлі безпілотних комплексів, засобів РЕБ, портативних та стаціонарних автономних джерел електроживлення</w:t>
            </w:r>
            <w:r w:rsidDel="00000000" w:rsidR="00000000" w:rsidRPr="00000000">
              <w:rPr>
                <w:rtl w:val="0"/>
              </w:rPr>
            </w:r>
          </w:p>
        </w:tc>
        <w:tc>
          <w:tcPr>
            <w:vAlign w:val="top"/>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1 000 000,00</w:t>
            </w:r>
          </w:p>
        </w:tc>
        <w:tc>
          <w:tcPr>
            <w:vAlign w:val="top"/>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tl w:val="0"/>
              </w:rPr>
            </w:r>
          </w:p>
        </w:tc>
      </w:tr>
      <w:tr>
        <w:trPr>
          <w:cantSplit w:val="0"/>
          <w:trHeight w:val="3364" w:hRule="atLeast"/>
          <w:tblHeader w:val="0"/>
        </w:trPr>
        <w:tc>
          <w:tcPr>
            <w:vAlign w:val="top"/>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А4548 Збройних Сил України</w:t>
            </w:r>
          </w:p>
        </w:tc>
        <w:tc>
          <w:tcPr>
            <w:vAlign w:val="top"/>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А4548 Збройних сил України для закупівлі безпілотних літальних апаратів (БпЛА), безпілотних авіаційних комплексів (БпАК)</w:t>
            </w:r>
          </w:p>
        </w:tc>
        <w:tc>
          <w:tcPr>
            <w:vAlign w:val="top"/>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09" w:hRule="atLeast"/>
          <w:tblHeader w:val="0"/>
        </w:trPr>
        <w:tc>
          <w:tcPr>
            <w:vAlign w:val="top"/>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r>
      <w:tr>
        <w:trPr>
          <w:cantSplit w:val="0"/>
          <w:trHeight w:val="1833" w:hRule="atLeast"/>
          <w:tblHeader w:val="0"/>
        </w:trPr>
        <w:tc>
          <w:tcPr>
            <w:vAlign w:val="top"/>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3057 Національної гвардії України</w:t>
            </w:r>
          </w:p>
        </w:tc>
        <w:tc>
          <w:tcPr>
            <w:vAlign w:val="top"/>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3057 Національної гвардії України для покращення матеріально-технічного забезпечення Військової частини 3057 НГУ</w:t>
            </w:r>
          </w:p>
        </w:tc>
        <w:tc>
          <w:tcPr>
            <w:vAlign w:val="top"/>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85" w:hRule="atLeast"/>
          <w:tblHeader w:val="0"/>
        </w:trPr>
        <w:tc>
          <w:tcPr>
            <w:vAlign w:val="top"/>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А7031 Збройних Сил України</w:t>
            </w:r>
          </w:p>
        </w:tc>
        <w:tc>
          <w:tcPr>
            <w:vAlign w:val="top"/>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А7031 Збройних сил України для закупівлі зарядних станцій, балістичних покривал, безпілотних літальних апаратів (БпЛА), наземних роботизованих комплексів (НРК), комп’ютерів </w:t>
            </w:r>
          </w:p>
        </w:tc>
        <w:tc>
          <w:tcPr>
            <w:vAlign w:val="top"/>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1 000 000,00</w:t>
            </w:r>
          </w:p>
        </w:tc>
        <w:tc>
          <w:tcPr>
            <w:vAlign w:val="top"/>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243" w:hRule="atLeast"/>
          <w:tblHeader w:val="0"/>
        </w:trPr>
        <w:tc>
          <w:tcPr>
            <w:vAlign w:val="top"/>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А7013 Збройних Сил України</w:t>
            </w:r>
          </w:p>
        </w:tc>
        <w:tc>
          <w:tcPr>
            <w:vAlign w:val="top"/>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А7013 Збройних сил України для закупівлі запасних частин до військової автомобільної та спеціальної техніки, а також на оплату послуг з поточного ремонту військової автомобільної та спеціальної техніки</w:t>
            </w:r>
          </w:p>
        </w:tc>
        <w:tc>
          <w:tcPr>
            <w:vAlign w:val="top"/>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57" w:hRule="atLeast"/>
          <w:tblHeader w:val="0"/>
        </w:trPr>
        <w:tc>
          <w:tcPr>
            <w:vAlign w:val="top"/>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c>
          <w:tcPr>
            <w:vAlign w:val="top"/>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А4267 Збройних Сил України</w:t>
            </w:r>
          </w:p>
        </w:tc>
        <w:tc>
          <w:tcPr>
            <w:vAlign w:val="top"/>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А4267 Збройних сил України  для придбання комплектуючих до безпілотних літальних апаратів</w:t>
            </w:r>
          </w:p>
        </w:tc>
        <w:tc>
          <w:tcPr>
            <w:vAlign w:val="top"/>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28" w:hRule="atLeast"/>
          <w:tblHeader w:val="0"/>
        </w:trPr>
        <w:tc>
          <w:tcPr>
            <w:vAlign w:val="top"/>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r>
      <w:tr>
        <w:trPr>
          <w:cantSplit w:val="0"/>
          <w:trHeight w:val="2739" w:hRule="atLeast"/>
          <w:tblHeader w:val="0"/>
        </w:trPr>
        <w:tc>
          <w:tcPr>
            <w:vAlign w:val="top"/>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w:t>
            </w:r>
          </w:p>
        </w:tc>
        <w:tc>
          <w:tcPr>
            <w:vAlign w:val="top"/>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3052 Національної гвардії  України</w:t>
            </w:r>
          </w:p>
        </w:tc>
        <w:tc>
          <w:tcPr>
            <w:vAlign w:val="top"/>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3052 Національної гвардії  України  для закупівлі безпілотних авіаційних комплексів та супутнього обладнання</w:t>
            </w:r>
          </w:p>
        </w:tc>
        <w:tc>
          <w:tcPr>
            <w:vAlign w:val="top"/>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45" w:hRule="atLeast"/>
          <w:tblHeader w:val="0"/>
        </w:trPr>
        <w:tc>
          <w:tcPr>
            <w:vAlign w:val="top"/>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264" w:hRule="atLeast"/>
          <w:tblHeader w:val="0"/>
        </w:trPr>
        <w:tc>
          <w:tcPr>
            <w:vAlign w:val="top"/>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w:t>
            </w:r>
          </w:p>
        </w:tc>
        <w:tc>
          <w:tcPr>
            <w:vAlign w:val="top"/>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А0515 Збройних Сил України</w:t>
            </w:r>
          </w:p>
        </w:tc>
        <w:tc>
          <w:tcPr>
            <w:vAlign w:val="top"/>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А0515 Збройних сил України  на закупівлю автомобільної техніки</w:t>
            </w:r>
          </w:p>
        </w:tc>
        <w:tc>
          <w:tcPr>
            <w:vAlign w:val="top"/>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1 000 000,00</w:t>
            </w:r>
          </w:p>
        </w:tc>
        <w:tc>
          <w:tcPr>
            <w:vAlign w:val="top"/>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360" w:hRule="atLeast"/>
          <w:tblHeader w:val="0"/>
        </w:trPr>
        <w:tc>
          <w:tcPr>
            <w:vAlign w:val="top"/>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w:t>
            </w:r>
          </w:p>
        </w:tc>
        <w:tc>
          <w:tcPr>
            <w:vAlign w:val="top"/>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А4623 Збройних Сил України</w:t>
            </w:r>
          </w:p>
        </w:tc>
        <w:tc>
          <w:tcPr>
            <w:vAlign w:val="top"/>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А4623 Збройних сил України  для придбання безпілотних літальних апаратів</w:t>
            </w:r>
          </w:p>
        </w:tc>
        <w:tc>
          <w:tcPr>
            <w:vAlign w:val="top"/>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300" w:hRule="atLeast"/>
          <w:tblHeader w:val="0"/>
        </w:trPr>
        <w:tc>
          <w:tcPr>
            <w:vAlign w:val="top"/>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w:t>
            </w:r>
          </w:p>
        </w:tc>
        <w:tc>
          <w:tcPr>
            <w:vAlign w:val="top"/>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А7014 Збройних Сил України</w:t>
            </w:r>
          </w:p>
        </w:tc>
        <w:tc>
          <w:tcPr>
            <w:vAlign w:val="top"/>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А7014 Збройних сил України  для придбання автомобільного транспорту</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739" w:hRule="atLeast"/>
          <w:tblHeader w:val="0"/>
        </w:trPr>
        <w:tc>
          <w:tcPr>
            <w:vAlign w:val="top"/>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w:t>
            </w:r>
          </w:p>
        </w:tc>
        <w:tc>
          <w:tcPr>
            <w:vAlign w:val="top"/>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А1108 Збройних Сил України</w:t>
            </w:r>
          </w:p>
        </w:tc>
        <w:tc>
          <w:tcPr>
            <w:vAlign w:val="top"/>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А1108 Збройних сил України  для придбання запасних частин до автомобільної техніки загальновійськового та спеціального призначення</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300 000,00</w:t>
            </w:r>
          </w:p>
        </w:tc>
        <w:tc>
          <w:tcPr>
            <w:vAlign w:val="top"/>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6" w:hRule="atLeast"/>
          <w:tblHeader w:val="0"/>
        </w:trPr>
        <w:tc>
          <w:tcPr>
            <w:vAlign w:val="top"/>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r>
      <w:tr>
        <w:trPr>
          <w:cantSplit w:val="0"/>
          <w:trHeight w:val="2219" w:hRule="atLeast"/>
          <w:tblHeader w:val="0"/>
        </w:trPr>
        <w:tc>
          <w:tcPr>
            <w:vAlign w:val="top"/>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w:t>
            </w:r>
          </w:p>
        </w:tc>
        <w:tc>
          <w:tcPr>
            <w:vAlign w:val="top"/>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А4808 Збройних Сил України</w:t>
            </w:r>
          </w:p>
        </w:tc>
        <w:tc>
          <w:tcPr>
            <w:vAlign w:val="top"/>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А4808 Збройних сил України  на закупівлю засобів радіоелектронної боротьби</w:t>
            </w:r>
          </w:p>
        </w:tc>
        <w:tc>
          <w:tcPr>
            <w:vAlign w:val="top"/>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338" w:hRule="atLeast"/>
          <w:tblHeader w:val="0"/>
        </w:trPr>
        <w:tc>
          <w:tcPr>
            <w:vAlign w:val="top"/>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w:t>
            </w:r>
          </w:p>
        </w:tc>
        <w:tc>
          <w:tcPr>
            <w:vAlign w:val="top"/>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4114 Національної гвардії  України</w:t>
            </w:r>
          </w:p>
        </w:tc>
        <w:tc>
          <w:tcPr>
            <w:vAlign w:val="top"/>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4114 Національної гвардії  України  для придбання безпілотних літальних апаратів</w:t>
            </w:r>
          </w:p>
        </w:tc>
        <w:tc>
          <w:tcPr>
            <w:vAlign w:val="top"/>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400 000,00</w:t>
            </w:r>
          </w:p>
        </w:tc>
        <w:tc>
          <w:tcPr>
            <w:vAlign w:val="top"/>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739" w:hRule="atLeast"/>
          <w:tblHeader w:val="0"/>
        </w:trPr>
        <w:tc>
          <w:tcPr>
            <w:vAlign w:val="top"/>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w:t>
            </w:r>
          </w:p>
        </w:tc>
        <w:tc>
          <w:tcPr>
            <w:vAlign w:val="top"/>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2144 ДПСУ (7 прикордонний Карпатський загін) </w:t>
            </w:r>
          </w:p>
        </w:tc>
        <w:tc>
          <w:tcPr>
            <w:vAlign w:val="top"/>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2144 ДПСУ                   (7 прикордонний Карпатський загін) для придбання матеріальних засобів з метою  створення суцільного відеоспостереження державного кордону впс «Рава-Руська»;</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для закупівлі послуг з обслуговування транспортних засобів, запасних частин до транспортних засобів, інших матеріально-технічних засобів</w:t>
            </w:r>
          </w:p>
        </w:tc>
        <w:tc>
          <w:tcPr>
            <w:vAlign w:val="top"/>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1 000 000,00</w:t>
            </w:r>
          </w:p>
        </w:tc>
        <w:tc>
          <w:tcPr>
            <w:vAlign w:val="top"/>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4" w:hRule="atLeast"/>
          <w:tblHeader w:val="0"/>
        </w:trPr>
        <w:tc>
          <w:tcPr>
            <w:vAlign w:val="top"/>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w:t>
            </w:r>
          </w:p>
        </w:tc>
        <w:tc>
          <w:tcPr>
            <w:vAlign w:val="top"/>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А5063 Збройних Сил України</w:t>
            </w:r>
          </w:p>
        </w:tc>
        <w:tc>
          <w:tcPr>
            <w:vAlign w:val="top"/>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А5063 Збройних сил України: капітальні видатки для придбання обладнання і предметів довгострокового використання (модульних казарм, приміщень та іншого обладнання); </w:t>
            </w:r>
          </w:p>
        </w:tc>
        <w:tc>
          <w:tcPr>
            <w:vAlign w:val="top"/>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1 000 000,00</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1 000 000,00</w:t>
            </w:r>
          </w:p>
        </w:tc>
        <w:tc>
          <w:tcPr>
            <w:vAlign w:val="top"/>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4" w:hRule="atLeast"/>
          <w:tblHeader w:val="0"/>
        </w:trPr>
        <w:tc>
          <w:tcPr>
            <w:vAlign w:val="top"/>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r>
      <w:tr>
        <w:trPr>
          <w:cantSplit w:val="0"/>
          <w:trHeight w:val="144" w:hRule="atLeast"/>
          <w:tblHeader w:val="0"/>
        </w:trPr>
        <w:tc>
          <w:tcPr>
            <w:vAlign w:val="top"/>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 видатки на закупівлю БпЛА, комплектуючих, запасних частин та складових до БпЛА та НРК, засобів РЕБ та комплектуючих до них, шин для транспорту запасних частин, комплектуючих до транспорту та іншої техніки, послуг з ремонту автомобільної техніки</w:t>
            </w:r>
          </w:p>
        </w:tc>
        <w:tc>
          <w:tcPr>
            <w:vAlign w:val="top"/>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263" w:hRule="atLeast"/>
          <w:tblHeader w:val="0"/>
        </w:trPr>
        <w:tc>
          <w:tcPr>
            <w:vAlign w:val="top"/>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w:t>
            </w:r>
          </w:p>
        </w:tc>
        <w:tc>
          <w:tcPr>
            <w:vAlign w:val="top"/>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А4921 Збройних Сил України</w:t>
            </w:r>
          </w:p>
        </w:tc>
        <w:tc>
          <w:tcPr>
            <w:vAlign w:val="top"/>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А4921 Збройних сил України  для придбання безпілотних літальних апаратів</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739" w:hRule="atLeast"/>
          <w:tblHeader w:val="0"/>
        </w:trPr>
        <w:tc>
          <w:tcPr>
            <w:vAlign w:val="top"/>
          </w:tcPr>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w:t>
            </w:r>
          </w:p>
        </w:tc>
        <w:tc>
          <w:tcPr>
            <w:vAlign w:val="top"/>
          </w:tcPr>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А4220 Збройних Сил України</w:t>
            </w:r>
          </w:p>
        </w:tc>
        <w:tc>
          <w:tcPr>
            <w:vAlign w:val="top"/>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А4220 Збройних сил України  для придбання розвідувальних безпілотних авіаційних комплексів, засобів радіо- та радіотехнічної розвідки</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200 000,00</w:t>
            </w:r>
          </w:p>
        </w:tc>
        <w:tc>
          <w:tcPr>
            <w:vAlign w:val="top"/>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16" w:hRule="atLeast"/>
          <w:tblHeader w:val="0"/>
        </w:trPr>
        <w:tc>
          <w:tcPr>
            <w:vAlign w:val="top"/>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w:t>
            </w:r>
          </w:p>
        </w:tc>
        <w:tc>
          <w:tcPr>
            <w:vAlign w:val="top"/>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Національна академія сухопутних військ імені гетьмана Петра Сагайдачного</w:t>
            </w:r>
          </w:p>
        </w:tc>
        <w:tc>
          <w:tcPr>
            <w:vAlign w:val="top"/>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Національній академії сухопутних військ імені гетьмана Петра Сагайдачного на закупівлю будівельних матеріалів для проведення поточного ремонту інституту ракетних військ і артилерії  Національної академії сухопутних військ</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200 000,00</w:t>
            </w:r>
          </w:p>
        </w:tc>
        <w:tc>
          <w:tcPr>
            <w:vAlign w:val="top"/>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6" w:hRule="atLeast"/>
          <w:tblHeader w:val="0"/>
        </w:trPr>
        <w:tc>
          <w:tcPr>
            <w:vAlign w:val="top"/>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r>
      <w:tr>
        <w:trPr>
          <w:cantSplit w:val="0"/>
          <w:trHeight w:val="3211" w:hRule="atLeast"/>
          <w:tblHeader w:val="0"/>
        </w:trPr>
        <w:tc>
          <w:tcPr>
            <w:vAlign w:val="top"/>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w:t>
            </w:r>
          </w:p>
        </w:tc>
        <w:tc>
          <w:tcPr>
            <w:vAlign w:val="top"/>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А4150 Збройних Сил України</w:t>
            </w:r>
          </w:p>
        </w:tc>
        <w:tc>
          <w:tcPr>
            <w:vAlign w:val="top"/>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А4150 Збройних сил України  для придбання запчастин до безпілотних літальних апаратів, а також на закупівлю розвідувальних безпілотних літальних апаратів</w:t>
            </w:r>
          </w:p>
        </w:tc>
        <w:tc>
          <w:tcPr>
            <w:vAlign w:val="top"/>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150 000,00</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350 000,00</w:t>
            </w:r>
          </w:p>
        </w:tc>
        <w:tc>
          <w:tcPr>
            <w:vAlign w:val="top"/>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739" w:hRule="atLeast"/>
          <w:tblHeader w:val="0"/>
        </w:trPr>
        <w:tc>
          <w:tcPr>
            <w:vAlign w:val="top"/>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w:t>
            </w:r>
          </w:p>
        </w:tc>
        <w:tc>
          <w:tcPr>
            <w:vAlign w:val="top"/>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Кінологічний навчальний центр (військова частина 2418) Державної прикордонної служби України</w:t>
            </w:r>
          </w:p>
        </w:tc>
        <w:tc>
          <w:tcPr>
            <w:vAlign w:val="top"/>
          </w:tcPr>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Кінологічному навчальному центру (військовій частині 2418) ДПСУ для закупівлі обладнання для технічного оснащення навчальних класів та території на польовій навчальній базі, матеріалів для проведення зовнішніх та внутрішніх ремонтних робіт з облаштування навчальних місць та стрілецьких тирів</w:t>
            </w:r>
          </w:p>
        </w:tc>
        <w:tc>
          <w:tcPr>
            <w:vAlign w:val="top"/>
          </w:tcPr>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5" w:hRule="atLeast"/>
          <w:tblHeader w:val="0"/>
        </w:trPr>
        <w:tc>
          <w:tcPr>
            <w:vAlign w:val="top"/>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tl w:val="0"/>
              </w:rPr>
            </w:r>
          </w:p>
        </w:tc>
        <w:tc>
          <w:tcPr>
            <w:vAlign w:val="top"/>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739" w:hRule="atLeast"/>
          <w:tblHeader w:val="0"/>
        </w:trPr>
        <w:tc>
          <w:tcPr>
            <w:vAlign w:val="top"/>
          </w:tcPr>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w:t>
            </w:r>
            <w:r w:rsidDel="00000000" w:rsidR="00000000" w:rsidRPr="00000000">
              <w:rPr>
                <w:rtl w:val="0"/>
              </w:rPr>
            </w:r>
          </w:p>
        </w:tc>
        <w:tc>
          <w:tcPr>
            <w:vAlign w:val="top"/>
          </w:tcPr>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3102 Національної гвардії України </w:t>
            </w:r>
          </w:p>
        </w:tc>
        <w:tc>
          <w:tcPr>
            <w:vAlign w:val="top"/>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3102 2 корпусу Національної гвардії «Хартія» України  для закупівлі засобів БПС, безпілотних наземних роботизованих комплексів та комплектуючих до них</w:t>
            </w:r>
          </w:p>
        </w:tc>
        <w:tc>
          <w:tcPr>
            <w:vAlign w:val="top"/>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tc>
        <w:tc>
          <w:tcPr>
            <w:vAlign w:val="top"/>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367" w:hRule="atLeast"/>
          <w:tblHeader w:val="0"/>
        </w:trPr>
        <w:tc>
          <w:tcPr>
            <w:vAlign w:val="top"/>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w:t>
            </w:r>
          </w:p>
        </w:tc>
        <w:tc>
          <w:tcPr>
            <w:vAlign w:val="top"/>
          </w:tcPr>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А5060 Збройних Сил України</w:t>
            </w:r>
          </w:p>
        </w:tc>
        <w:tc>
          <w:tcPr>
            <w:vAlign w:val="top"/>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А5060 Збройних сил для придбання наземного роботизованого комплексу та необхідних комплектуючих засобів</w:t>
            </w:r>
          </w:p>
        </w:tc>
        <w:tc>
          <w:tcPr>
            <w:vAlign w:val="top"/>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4" w:hRule="atLeast"/>
          <w:tblHeader w:val="0"/>
        </w:trPr>
        <w:tc>
          <w:tcPr>
            <w:vAlign w:val="top"/>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r>
      <w:tr>
        <w:trPr>
          <w:cantSplit w:val="0"/>
          <w:trHeight w:val="1794" w:hRule="atLeast"/>
          <w:tblHeader w:val="0"/>
        </w:trPr>
        <w:tc>
          <w:tcPr>
            <w:vAlign w:val="top"/>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для нього з метою виконання бойових та спеціальних завдань дивізіону артилерійської розвідки</w:t>
            </w:r>
          </w:p>
        </w:tc>
        <w:tc>
          <w:tcPr>
            <w:vAlign w:val="top"/>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386" w:hRule="atLeast"/>
          <w:tblHeader w:val="0"/>
        </w:trPr>
        <w:tc>
          <w:tcPr>
            <w:vAlign w:val="top"/>
          </w:tcPr>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w:t>
            </w:r>
          </w:p>
        </w:tc>
        <w:tc>
          <w:tcPr>
            <w:vAlign w:val="top"/>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А0222 Збройних Сил України</w:t>
            </w:r>
          </w:p>
        </w:tc>
        <w:tc>
          <w:tcPr>
            <w:vAlign w:val="top"/>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А0222 Збройних сил України для придбання ударних дронів FPV та безпілотних літальних апаратів</w:t>
            </w:r>
          </w:p>
        </w:tc>
        <w:tc>
          <w:tcPr>
            <w:vAlign w:val="top"/>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1794" w:hRule="atLeast"/>
          <w:tblHeader w:val="0"/>
        </w:trPr>
        <w:tc>
          <w:tcPr>
            <w:vAlign w:val="top"/>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w:t>
            </w:r>
          </w:p>
        </w:tc>
        <w:tc>
          <w:tcPr>
            <w:vAlign w:val="top"/>
          </w:tcPr>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А0237 Збройних Сил України</w:t>
            </w:r>
          </w:p>
        </w:tc>
        <w:tc>
          <w:tcPr>
            <w:vAlign w:val="top"/>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А0237 Збройних сил України на реконструкцію та капітальний ремонт будівлі № 58/2 (казарма),військового містечка № 58, м. Львів, вул. Авіаційна, 1</w:t>
            </w:r>
          </w:p>
        </w:tc>
        <w:tc>
          <w:tcPr>
            <w:vAlign w:val="top"/>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1794" w:hRule="atLeast"/>
          <w:tblHeader w:val="0"/>
        </w:trPr>
        <w:tc>
          <w:tcPr>
            <w:vAlign w:val="top"/>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w:t>
            </w:r>
          </w:p>
        </w:tc>
        <w:tc>
          <w:tcPr>
            <w:vAlign w:val="top"/>
          </w:tcPr>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А2582 Збройних Сил України</w:t>
            </w:r>
          </w:p>
        </w:tc>
        <w:tc>
          <w:tcPr>
            <w:vAlign w:val="top"/>
          </w:tcPr>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А2582 Збройних сил України на ремонт автомобільної техніки та закупівлі запчастин</w:t>
            </w:r>
          </w:p>
        </w:tc>
        <w:tc>
          <w:tcPr>
            <w:vAlign w:val="top"/>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1794" w:hRule="atLeast"/>
          <w:tblHeader w:val="0"/>
        </w:trPr>
        <w:tc>
          <w:tcPr>
            <w:vAlign w:val="top"/>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w:t>
            </w:r>
          </w:p>
        </w:tc>
        <w:tc>
          <w:tcPr>
            <w:vAlign w:val="top"/>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А0284 Збройних Сил України</w:t>
            </w:r>
          </w:p>
        </w:tc>
        <w:tc>
          <w:tcPr>
            <w:vAlign w:val="top"/>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А0284 Збройних сил України  для придбання запчастин та комплектуючих до озброєння та військової техніки, їх ремонту та технічного обслуговування, FPV дронів та комплектів ініціації для FPV дронів, </w:t>
            </w:r>
          </w:p>
        </w:tc>
        <w:tc>
          <w:tcPr>
            <w:vAlign w:val="top"/>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286" w:hRule="atLeast"/>
          <w:tblHeader w:val="0"/>
        </w:trPr>
        <w:tc>
          <w:tcPr>
            <w:vAlign w:val="top"/>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r>
      <w:tr>
        <w:trPr>
          <w:cantSplit w:val="0"/>
          <w:trHeight w:val="1794" w:hRule="atLeast"/>
          <w:tblHeader w:val="0"/>
        </w:trPr>
        <w:tc>
          <w:tcPr>
            <w:vAlign w:val="top"/>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комплектуючих до FPV дронів, додаткового обладнання для покращення роботи пілотів дронів (коптерів), щогли, окуляри, виносні антени, ретранслятори, додаткові комплекти батарей для дронів</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794" w:hRule="atLeast"/>
          <w:tblHeader w:val="0"/>
        </w:trPr>
        <w:tc>
          <w:tcPr>
            <w:vAlign w:val="top"/>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w:t>
            </w:r>
          </w:p>
        </w:tc>
        <w:tc>
          <w:tcPr>
            <w:vAlign w:val="top"/>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А5137 Збройних Сил України</w:t>
            </w:r>
          </w:p>
        </w:tc>
        <w:tc>
          <w:tcPr>
            <w:vAlign w:val="top"/>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А5137 Збройних сил України  для забезпечення відновлення військової техніки та озброєння, необхідного для виконання першочергових бойових завдань</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1794" w:hRule="atLeast"/>
          <w:tblHeader w:val="0"/>
        </w:trPr>
        <w:tc>
          <w:tcPr>
            <w:vAlign w:val="top"/>
          </w:tcPr>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28.</w:t>
            </w:r>
          </w:p>
        </w:tc>
        <w:tc>
          <w:tcPr>
            <w:vAlign w:val="top"/>
          </w:tcPr>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А7039 Збройних Сил України</w:t>
            </w:r>
          </w:p>
        </w:tc>
        <w:tc>
          <w:tcPr>
            <w:vAlign w:val="top"/>
          </w:tcPr>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А7039 Збройних сил України для придбання автомобільного транспорту</w:t>
            </w:r>
          </w:p>
        </w:tc>
        <w:tc>
          <w:tcPr>
            <w:vAlign w:val="top"/>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1794" w:hRule="atLeast"/>
          <w:tblHeader w:val="0"/>
        </w:trPr>
        <w:tc>
          <w:tcPr>
            <w:vAlign w:val="top"/>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29.</w:t>
            </w:r>
          </w:p>
        </w:tc>
        <w:tc>
          <w:tcPr>
            <w:vAlign w:val="top"/>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А2847 Збройних Сил України</w:t>
            </w:r>
          </w:p>
        </w:tc>
        <w:tc>
          <w:tcPr>
            <w:vAlign w:val="top"/>
          </w:tcPr>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А2847 Збройних сил України для придбання засобів зв’язку</w:t>
            </w:r>
          </w:p>
        </w:tc>
        <w:tc>
          <w:tcPr>
            <w:vAlign w:val="top"/>
          </w:tcPr>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37 000,00</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841" w:hRule="atLeast"/>
          <w:tblHeader w:val="0"/>
        </w:trPr>
        <w:tc>
          <w:tcPr>
            <w:vAlign w:val="top"/>
          </w:tcPr>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30.</w:t>
            </w:r>
          </w:p>
        </w:tc>
        <w:tc>
          <w:tcPr>
            <w:vAlign w:val="top"/>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А2615 Збройних Сил України</w:t>
            </w:r>
          </w:p>
        </w:tc>
        <w:tc>
          <w:tcPr>
            <w:vAlign w:val="top"/>
          </w:tcPr>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А2615 Збройних сил України для придбання підйомника </w:t>
            </w:r>
          </w:p>
        </w:tc>
        <w:tc>
          <w:tcPr>
            <w:vAlign w:val="top"/>
          </w:tcPr>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w:t>
            </w:r>
          </w:p>
        </w:tc>
        <w:tc>
          <w:tcPr>
            <w:vAlign w:val="top"/>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416" w:hRule="atLeast"/>
          <w:tblHeader w:val="0"/>
        </w:trPr>
        <w:tc>
          <w:tcPr>
            <w:vAlign w:val="top"/>
          </w:tcPr>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r>
      <w:tr>
        <w:trPr>
          <w:cantSplit w:val="0"/>
          <w:trHeight w:val="841" w:hRule="atLeast"/>
          <w:tblHeader w:val="0"/>
        </w:trPr>
        <w:tc>
          <w:tcPr>
            <w:vAlign w:val="top"/>
          </w:tcPr>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автомобільного 2-х стійкового – 1 шт. та стенду балансування автомобільних коліс – 1 шт., парково-гаражне обладнання та інше</w:t>
            </w:r>
          </w:p>
        </w:tc>
        <w:tc>
          <w:tcPr>
            <w:vAlign w:val="top"/>
          </w:tcPr>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територіальної громади</w:t>
            </w:r>
          </w:p>
        </w:tc>
        <w:tc>
          <w:tcPr>
            <w:vAlign w:val="top"/>
          </w:tcPr>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841" w:hRule="atLeast"/>
          <w:tblHeader w:val="0"/>
        </w:trPr>
        <w:tc>
          <w:tcPr>
            <w:vAlign w:val="top"/>
          </w:tcPr>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w:t>
            </w:r>
          </w:p>
        </w:tc>
        <w:tc>
          <w:tcPr>
            <w:vAlign w:val="top"/>
          </w:tcPr>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А2678 Збройних Сил України</w:t>
            </w:r>
          </w:p>
        </w:tc>
        <w:tc>
          <w:tcPr>
            <w:vAlign w:val="top"/>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А2678 Збройних сил України для придбання будівельних матеріалів на проведення поточного ремонту контрольно пропускного пункту №1 та казарми №13 м. Жовква містечко №8</w:t>
            </w:r>
          </w:p>
        </w:tc>
        <w:tc>
          <w:tcPr>
            <w:vAlign w:val="top"/>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300 000,00</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841" w:hRule="atLeast"/>
          <w:tblHeader w:val="0"/>
        </w:trPr>
        <w:tc>
          <w:tcPr>
            <w:vAlign w:val="top"/>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w:t>
            </w:r>
          </w:p>
        </w:tc>
        <w:tc>
          <w:tcPr>
            <w:vAlign w:val="top"/>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4110 Національної гвардії України (Управління 1 корпусу «Азов»)</w:t>
            </w:r>
          </w:p>
        </w:tc>
        <w:tc>
          <w:tcPr>
            <w:vAlign w:val="top"/>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4110 Національної гвардії України (Управління 1 корпусу «Азов») для придбання матеріалів, зокрема будівельних, інвентарю та інструментів для господарської діяльності, утримання, експлуатації та ремонту військових інженерно-технічних, фортифікаційних та інших будівель і споруд військових частин номенклатури квартирно-експлуатаційної служби</w:t>
            </w:r>
          </w:p>
        </w:tc>
        <w:tc>
          <w:tcPr>
            <w:vAlign w:val="top"/>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841" w:hRule="atLeast"/>
          <w:tblHeader w:val="0"/>
        </w:trPr>
        <w:tc>
          <w:tcPr>
            <w:vAlign w:val="top"/>
          </w:tcPr>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w:t>
            </w:r>
          </w:p>
        </w:tc>
        <w:tc>
          <w:tcPr>
            <w:vAlign w:val="top"/>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А4355 Збройних Сил України</w:t>
            </w:r>
          </w:p>
        </w:tc>
        <w:tc>
          <w:tcPr>
            <w:vAlign w:val="top"/>
          </w:tcPr>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А4355 Збройних сил України для закупівлі іміджевої та сувенірної продукції, FPV дронів</w:t>
            </w:r>
          </w:p>
        </w:tc>
        <w:tc>
          <w:tcPr>
            <w:vAlign w:val="top"/>
          </w:tcPr>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tc>
        <w:tc>
          <w:tcPr>
            <w:vAlign w:val="top"/>
          </w:tcPr>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Поточні</w:t>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1 000 000,00</w:t>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286" w:hRule="atLeast"/>
          <w:tblHeader w:val="0"/>
        </w:trPr>
        <w:tc>
          <w:tcPr>
            <w:vAlign w:val="top"/>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p>
        </w:tc>
      </w:tr>
      <w:tr>
        <w:trPr>
          <w:cantSplit w:val="0"/>
          <w:trHeight w:val="841" w:hRule="atLeast"/>
          <w:tblHeader w:val="0"/>
        </w:trPr>
        <w:tc>
          <w:tcPr>
            <w:vAlign w:val="top"/>
          </w:tcPr>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w:t>
            </w:r>
          </w:p>
        </w:tc>
        <w:tc>
          <w:tcPr>
            <w:vAlign w:val="top"/>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А4594 Збройних Сил України</w:t>
            </w:r>
          </w:p>
        </w:tc>
        <w:tc>
          <w:tcPr>
            <w:vAlign w:val="top"/>
          </w:tcPr>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А4594 Збройних сил України для закупівлі наземного роботизованого комплексу (ТАРГАН-200) в кількості 2 одиниці</w:t>
            </w:r>
          </w:p>
        </w:tc>
        <w:tc>
          <w:tcPr>
            <w:vAlign w:val="top"/>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841" w:hRule="atLeast"/>
          <w:tblHeader w:val="0"/>
        </w:trPr>
        <w:tc>
          <w:tcPr>
            <w:vAlign w:val="top"/>
          </w:tcPr>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w:t>
            </w:r>
          </w:p>
        </w:tc>
        <w:tc>
          <w:tcPr>
            <w:vAlign w:val="top"/>
          </w:tcPr>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А4699 Збройних Сил України</w:t>
            </w:r>
          </w:p>
        </w:tc>
        <w:tc>
          <w:tcPr>
            <w:vAlign w:val="top"/>
          </w:tcPr>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А4699 Збройних сил України для придбання наземного роботизованого комплексу «NUMO» номер НАТО 2360-61-018-8752.</w:t>
            </w:r>
          </w:p>
        </w:tc>
        <w:tc>
          <w:tcPr>
            <w:vAlign w:val="top"/>
          </w:tcPr>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861 279,00</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841" w:hRule="atLeast"/>
          <w:tblHeader w:val="0"/>
        </w:trPr>
        <w:tc>
          <w:tcPr>
            <w:vAlign w:val="top"/>
          </w:tcPr>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w:t>
            </w:r>
          </w:p>
        </w:tc>
        <w:tc>
          <w:tcPr>
            <w:vAlign w:val="top"/>
          </w:tcPr>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Військова частина А0536 Збройних Сил України</w:t>
            </w:r>
          </w:p>
        </w:tc>
        <w:tc>
          <w:tcPr>
            <w:vAlign w:val="top"/>
          </w:tcPr>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Субвенція з місцевого бюджету Військовій частині А0536 Збройних сил України для придбання автомобільної техніки для бойових підрозділів ВЧ А0536 </w:t>
            </w:r>
          </w:p>
        </w:tc>
        <w:tc>
          <w:tcPr>
            <w:vAlign w:val="top"/>
          </w:tcPr>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2026 рік</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Місцевий бюджет Жовківської міської територіальної громади</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видатки-        500 000,00</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Підвищення рівня бойової готовності</w:t>
            </w:r>
          </w:p>
        </w:tc>
      </w:tr>
      <w:tr>
        <w:trPr>
          <w:cantSplit w:val="0"/>
          <w:trHeight w:val="274" w:hRule="atLeast"/>
          <w:tblHeader w:val="0"/>
        </w:trPr>
        <w:tc>
          <w:tcPr>
            <w:gridSpan w:val="2"/>
            <w:vAlign w:val="top"/>
          </w:tcPr>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Усього:</w:t>
            </w:r>
            <w:r w:rsidDel="00000000" w:rsidR="00000000" w:rsidRPr="00000000">
              <w:rPr>
                <w:rtl w:val="0"/>
              </w:rPr>
            </w:r>
          </w:p>
        </w:tc>
        <w:tc>
          <w:tcPr>
            <w:vAlign w:val="top"/>
          </w:tcPr>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Х</w:t>
            </w:r>
            <w:r w:rsidDel="00000000" w:rsidR="00000000" w:rsidRPr="00000000">
              <w:rPr>
                <w:rtl w:val="0"/>
              </w:rPr>
            </w:r>
          </w:p>
        </w:tc>
        <w:tc>
          <w:tcPr>
            <w:vAlign w:val="top"/>
          </w:tcPr>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Х</w:t>
            </w:r>
            <w:r w:rsidDel="00000000" w:rsidR="00000000" w:rsidRPr="00000000">
              <w:rPr>
                <w:rtl w:val="0"/>
              </w:rPr>
            </w:r>
          </w:p>
        </w:tc>
        <w:tc>
          <w:tcPr>
            <w:vAlign w:val="top"/>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20 798 279,00</w:t>
            </w:r>
            <w:r w:rsidDel="00000000" w:rsidR="00000000" w:rsidRPr="00000000">
              <w:rPr>
                <w:rtl w:val="0"/>
              </w:rPr>
            </w:r>
          </w:p>
        </w:tc>
        <w:tc>
          <w:tcPr>
            <w:vAlign w:val="center"/>
          </w:tcPr>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Х </w:t>
            </w:r>
            <w:r w:rsidDel="00000000" w:rsidR="00000000" w:rsidRPr="00000000">
              <w:rPr>
                <w:rtl w:val="0"/>
              </w:rPr>
            </w:r>
          </w:p>
        </w:tc>
      </w:tr>
      <w:tr>
        <w:trPr>
          <w:cantSplit w:val="0"/>
          <w:trHeight w:val="413" w:hRule="atLeast"/>
          <w:tblHeader w:val="0"/>
        </w:trPr>
        <w:tc>
          <w:tcPr>
            <w:gridSpan w:val="2"/>
            <w:vAlign w:val="top"/>
          </w:tcPr>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т.ч. поточні видатки –</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11 587 000,00;</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капітальні видатки – </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9 211 279,00</w:t>
            </w:r>
          </w:p>
        </w:tc>
      </w:tr>
    </w:tbl>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b w:val="1"/>
          <w:bCs w:val="1"/>
        </w:rPr>
      </w:pP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Секретар  ради                                                                                                          Марта ГРЕНЬ</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sectPr>
      <w:headerReference r:id="rId8" w:type="even"/>
      <w:footerReference r:id="rId9" w:type="default"/>
      <w:pgSz w:h="16840" w:w="11907" w:orient="portrait"/>
      <w:pgMar w:bottom="1134" w:top="1134" w:left="1701" w:right="567" w:header="425" w:footer="90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uk"/>
      </w:rPr>
    </w:rPrDefault>
    <w:pPrDefault>
      <w:pPr>
        <w:widowControl w:val="0"/>
        <w:spacing w:before="260" w:line="300" w:lineRule="auto"/>
        <w:ind w:firstLine="74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Звичайний">
    <w:name w:val="Звичайний"/>
    <w:next w:val="Звичайний"/>
    <w:autoRedefine w:val="0"/>
    <w:hidden w:val="0"/>
    <w:qFormat w:val="0"/>
    <w:pPr>
      <w:suppressAutoHyphens w:val="1"/>
      <w:spacing w:line="288" w:lineRule="auto"/>
      <w:ind w:leftChars="-1" w:rightChars="0" w:firstLineChars="-1"/>
      <w:textDirection w:val="btLr"/>
      <w:textAlignment w:val="top"/>
      <w:outlineLvl w:val="0"/>
    </w:pPr>
    <w:rPr>
      <w:w w:val="100"/>
      <w:position w:val="-1"/>
      <w:sz w:val="28"/>
      <w:effect w:val="none"/>
      <w:vertAlign w:val="baseline"/>
      <w:cs w:val="0"/>
      <w:em w:val="none"/>
      <w:lang w:bidi="ar-SA" w:eastAsia="ru-RU" w:val="uk-UA"/>
    </w:rPr>
  </w:style>
  <w:style w:type="paragraph" w:styleId="Заголовок1">
    <w:name w:val="Заголовок 1"/>
    <w:basedOn w:val="Звичайний"/>
    <w:next w:val="Звичайний"/>
    <w:autoRedefine w:val="0"/>
    <w:hidden w:val="0"/>
    <w:qFormat w:val="0"/>
    <w:pPr>
      <w:keepNext w:val="1"/>
      <w:suppressAutoHyphens w:val="1"/>
      <w:spacing w:after="60" w:before="240" w:line="288" w:lineRule="auto"/>
      <w:ind w:leftChars="-1" w:rightChars="0" w:firstLineChars="-1"/>
      <w:textDirection w:val="btLr"/>
      <w:textAlignment w:val="top"/>
      <w:outlineLvl w:val="0"/>
    </w:pPr>
    <w:rPr>
      <w:rFonts w:ascii="Arial" w:cs="Arial" w:hAnsi="Arial"/>
      <w:b w:val="1"/>
      <w:bCs w:val="1"/>
      <w:w w:val="100"/>
      <w:kern w:val="32"/>
      <w:position w:val="-1"/>
      <w:sz w:val="32"/>
      <w:szCs w:val="32"/>
      <w:effect w:val="none"/>
      <w:vertAlign w:val="baseline"/>
      <w:cs w:val="0"/>
      <w:em w:val="none"/>
      <w:lang w:bidi="ar-SA" w:eastAsia="ru-RU" w:val="uk-UA"/>
    </w:rPr>
  </w:style>
  <w:style w:type="paragraph" w:styleId="Заголовок3">
    <w:name w:val="Заголовок 3"/>
    <w:basedOn w:val="Звичайний"/>
    <w:next w:val="Звичайний"/>
    <w:autoRedefine w:val="0"/>
    <w:hidden w:val="0"/>
    <w:qFormat w:val="0"/>
    <w:pPr>
      <w:keepNext w:val="1"/>
      <w:suppressAutoHyphens w:val="1"/>
      <w:spacing w:after="60" w:before="240" w:line="288" w:lineRule="auto"/>
      <w:ind w:leftChars="-1" w:rightChars="0" w:firstLineChars="-1"/>
      <w:textDirection w:val="btLr"/>
      <w:textAlignment w:val="top"/>
      <w:outlineLvl w:val="2"/>
    </w:pPr>
    <w:rPr>
      <w:rFonts w:ascii="Arial" w:cs="Arial" w:hAnsi="Arial"/>
      <w:b w:val="1"/>
      <w:bCs w:val="1"/>
      <w:w w:val="100"/>
      <w:position w:val="-1"/>
      <w:sz w:val="26"/>
      <w:szCs w:val="26"/>
      <w:effect w:val="none"/>
      <w:vertAlign w:val="baseline"/>
      <w:cs w:val="0"/>
      <w:em w:val="none"/>
      <w:lang w:bidi="ar-SA" w:eastAsia="ru-RU" w:val="uk-UA"/>
    </w:rPr>
  </w:style>
  <w:style w:type="paragraph" w:styleId="Заголовок5">
    <w:name w:val="Заголовок 5"/>
    <w:basedOn w:val="Звичайний"/>
    <w:next w:val="Звичайний"/>
    <w:autoRedefine w:val="0"/>
    <w:hidden w:val="0"/>
    <w:qFormat w:val="0"/>
    <w:pPr>
      <w:keepNext w:val="1"/>
      <w:suppressAutoHyphens w:val="1"/>
      <w:autoSpaceDE w:val="0"/>
      <w:autoSpaceDN w:val="0"/>
      <w:spacing w:line="240" w:lineRule="auto"/>
      <w:ind w:leftChars="-1" w:rightChars="0" w:firstLineChars="-1"/>
      <w:jc w:val="both"/>
      <w:textDirection w:val="btLr"/>
      <w:textAlignment w:val="top"/>
      <w:outlineLvl w:val="4"/>
    </w:pPr>
    <w:rPr>
      <w:rFonts w:ascii="Bookman Old Style" w:cs="Bookman Old Style" w:hAnsi="Bookman Old Style"/>
      <w:w w:val="100"/>
      <w:position w:val="-1"/>
      <w:sz w:val="27"/>
      <w:szCs w:val="27"/>
      <w:effect w:val="none"/>
      <w:vertAlign w:val="baseline"/>
      <w:cs w:val="0"/>
      <w:em w:val="none"/>
      <w:lang w:bidi="ar-SA" w:eastAsia="ru-RU" w:val="uk-UA"/>
    </w:rPr>
  </w:style>
  <w:style w:type="character" w:styleId="Шрифтабзацузазамовчуванням,ЗнакЗнак">
    <w:name w:val="Шрифт абзацу за замовчуванням, Знак Знак"/>
    <w:next w:val="Шрифтабзацузазамовчуванням,ЗнакЗнак"/>
    <w:autoRedefine w:val="0"/>
    <w:hidden w:val="0"/>
    <w:qFormat w:val="0"/>
    <w:rPr>
      <w:w w:val="100"/>
      <w:position w:val="-1"/>
      <w:effect w:val="none"/>
      <w:vertAlign w:val="baseline"/>
      <w:cs w:val="0"/>
      <w:em w:val="none"/>
      <w:lang/>
    </w:rPr>
  </w:style>
  <w:style w:type="table" w:styleId="Звичайнатаблиця">
    <w:name w:val="Звичайна таблиця"/>
    <w:next w:val="Звичайнатаблиця"/>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Звичайнатаблиця"/>
      <w:jc w:val="left"/>
      <w:tblInd w:w="0.0" w:type="dxa"/>
      <w:tblCellMar>
        <w:top w:w="0.0" w:type="dxa"/>
        <w:left w:w="108.0" w:type="dxa"/>
        <w:bottom w:w="0.0" w:type="dxa"/>
        <w:right w:w="108.0" w:type="dxa"/>
      </w:tblCellMar>
    </w:tblPr>
  </w:style>
  <w:style w:type="numbering" w:styleId="Немаєсписку">
    <w:name w:val="Немає списку"/>
    <w:next w:val="Немаєсписку"/>
    <w:autoRedefine w:val="0"/>
    <w:hidden w:val="0"/>
    <w:qFormat w:val="0"/>
    <w:pPr>
      <w:suppressAutoHyphens w:val="1"/>
      <w:spacing w:line="1" w:lineRule="atLeast"/>
      <w:ind w:leftChars="-1" w:rightChars="0" w:firstLineChars="-1"/>
      <w:textDirection w:val="btLr"/>
      <w:textAlignment w:val="top"/>
      <w:outlineLvl w:val="0"/>
    </w:pPr>
  </w:style>
  <w:style w:type="paragraph" w:styleId="Верхнійколонтитул">
    <w:name w:val="Верхній колонтитул"/>
    <w:basedOn w:val="Звичайний"/>
    <w:next w:val="Верхнійколонтитул"/>
    <w:autoRedefine w:val="0"/>
    <w:hidden w:val="0"/>
    <w:qFormat w:val="0"/>
    <w:pPr>
      <w:tabs>
        <w:tab w:val="center" w:leader="none" w:pos="4153"/>
        <w:tab w:val="right" w:leader="none" w:pos="8306"/>
      </w:tabs>
      <w:suppressAutoHyphens w:val="1"/>
      <w:spacing w:line="288" w:lineRule="auto"/>
      <w:ind w:leftChars="-1" w:rightChars="0" w:firstLineChars="-1"/>
      <w:textDirection w:val="btLr"/>
      <w:textAlignment w:val="top"/>
      <w:outlineLvl w:val="0"/>
    </w:pPr>
    <w:rPr>
      <w:w w:val="100"/>
      <w:position w:val="-1"/>
      <w:sz w:val="28"/>
      <w:effect w:val="none"/>
      <w:vertAlign w:val="baseline"/>
      <w:cs w:val="0"/>
      <w:em w:val="none"/>
      <w:lang w:bidi="ar-SA" w:eastAsia="ru-RU" w:val="uk-UA"/>
    </w:rPr>
  </w:style>
  <w:style w:type="paragraph" w:styleId="Нижнійколонтитул">
    <w:name w:val="Нижній колонтитул"/>
    <w:basedOn w:val="Звичайний"/>
    <w:next w:val="Нижнійколонтитул"/>
    <w:autoRedefine w:val="0"/>
    <w:hidden w:val="0"/>
    <w:qFormat w:val="0"/>
    <w:pPr>
      <w:tabs>
        <w:tab w:val="center" w:leader="none" w:pos="4153"/>
        <w:tab w:val="right" w:leader="none" w:pos="8306"/>
      </w:tabs>
      <w:suppressAutoHyphens w:val="1"/>
      <w:spacing w:line="288" w:lineRule="auto"/>
      <w:ind w:leftChars="-1" w:rightChars="0" w:firstLineChars="-1"/>
      <w:textDirection w:val="btLr"/>
      <w:textAlignment w:val="top"/>
      <w:outlineLvl w:val="0"/>
    </w:pPr>
    <w:rPr>
      <w:w w:val="100"/>
      <w:position w:val="-1"/>
      <w:sz w:val="28"/>
      <w:effect w:val="none"/>
      <w:vertAlign w:val="baseline"/>
      <w:cs w:val="0"/>
      <w:em w:val="none"/>
      <w:lang w:bidi="ar-SA" w:eastAsia="ru-RU" w:val="uk-UA"/>
    </w:rPr>
  </w:style>
  <w:style w:type="character" w:styleId="Номерсторінки">
    <w:name w:val="Номер сторінки"/>
    <w:basedOn w:val="Шрифтабзацузазамовчуванням,ЗнакЗнак"/>
    <w:next w:val="Номерсторінки"/>
    <w:autoRedefine w:val="0"/>
    <w:hidden w:val="0"/>
    <w:qFormat w:val="0"/>
    <w:rPr>
      <w:w w:val="100"/>
      <w:position w:val="-1"/>
      <w:effect w:val="none"/>
      <w:vertAlign w:val="baseline"/>
      <w:cs w:val="0"/>
      <w:em w:val="none"/>
      <w:lang/>
    </w:rPr>
  </w:style>
  <w:style w:type="paragraph" w:styleId="Основнийтекст">
    <w:name w:val="Основний текст"/>
    <w:basedOn w:val="Звичайний"/>
    <w:next w:val="Основнийтекст"/>
    <w:autoRedefine w:val="0"/>
    <w:hidden w:val="0"/>
    <w:qFormat w:val="0"/>
    <w:pPr>
      <w:tabs>
        <w:tab w:val="left" w:leader="none" w:pos="5103"/>
      </w:tabs>
      <w:suppressAutoHyphens w:val="1"/>
      <w:spacing w:line="288" w:lineRule="auto"/>
      <w:ind w:right="4648" w:leftChars="-1" w:rightChars="0" w:firstLineChars="-1"/>
      <w:jc w:val="both"/>
      <w:textDirection w:val="btLr"/>
      <w:textAlignment w:val="top"/>
      <w:outlineLvl w:val="0"/>
    </w:pPr>
    <w:rPr>
      <w:b w:val="1"/>
      <w:w w:val="100"/>
      <w:position w:val="-1"/>
      <w:sz w:val="28"/>
      <w:effect w:val="none"/>
      <w:vertAlign w:val="baseline"/>
      <w:cs w:val="0"/>
      <w:em w:val="none"/>
      <w:lang w:bidi="ar-SA" w:eastAsia="ru-RU" w:val="uk-UA"/>
    </w:rPr>
  </w:style>
  <w:style w:type="paragraph" w:styleId="Основнийтекстзвідступом">
    <w:name w:val="Основний текст з відступом"/>
    <w:basedOn w:val="Звичайний"/>
    <w:next w:val="Основнийтекстзвідступом"/>
    <w:autoRedefine w:val="0"/>
    <w:hidden w:val="0"/>
    <w:qFormat w:val="0"/>
    <w:pPr>
      <w:suppressAutoHyphens w:val="1"/>
      <w:spacing w:line="288" w:lineRule="auto"/>
      <w:ind w:leftChars="-1" w:rightChars="0" w:firstLine="720" w:firstLineChars="-1"/>
      <w:jc w:val="both"/>
      <w:textDirection w:val="btLr"/>
      <w:textAlignment w:val="top"/>
      <w:outlineLvl w:val="0"/>
    </w:pPr>
    <w:rPr>
      <w:w w:val="100"/>
      <w:position w:val="-1"/>
      <w:sz w:val="28"/>
      <w:effect w:val="none"/>
      <w:vertAlign w:val="baseline"/>
      <w:cs w:val="0"/>
      <w:em w:val="none"/>
      <w:lang w:bidi="ar-SA" w:eastAsia="ru-RU" w:val="uk-UA"/>
    </w:rPr>
  </w:style>
  <w:style w:type="paragraph" w:styleId="Основнийтекстзвідступом2">
    <w:name w:val="Основний текст з відступом 2"/>
    <w:basedOn w:val="Звичайний"/>
    <w:next w:val="Основнийтекстзвідступом2"/>
    <w:autoRedefine w:val="0"/>
    <w:hidden w:val="0"/>
    <w:qFormat w:val="0"/>
    <w:pPr>
      <w:suppressAutoHyphens w:val="1"/>
      <w:spacing w:line="288" w:lineRule="auto"/>
      <w:ind w:left="567" w:leftChars="-1" w:rightChars="0" w:hanging="283" w:firstLineChars="-1"/>
      <w:textDirection w:val="btLr"/>
      <w:textAlignment w:val="top"/>
      <w:outlineLvl w:val="0"/>
    </w:pPr>
    <w:rPr>
      <w:w w:val="100"/>
      <w:position w:val="-1"/>
      <w:sz w:val="28"/>
      <w:effect w:val="none"/>
      <w:vertAlign w:val="baseline"/>
      <w:cs w:val="0"/>
      <w:em w:val="none"/>
      <w:lang w:bidi="ar-SA" w:eastAsia="ru-RU" w:val="uk-UA"/>
    </w:rPr>
  </w:style>
  <w:style w:type="paragraph" w:styleId="Основнийтекстзвідступом3">
    <w:name w:val="Основний текст з відступом 3"/>
    <w:basedOn w:val="Звичайний"/>
    <w:next w:val="Основнийтекстзвідступом3"/>
    <w:autoRedefine w:val="0"/>
    <w:hidden w:val="0"/>
    <w:qFormat w:val="0"/>
    <w:pPr>
      <w:suppressAutoHyphens w:val="1"/>
      <w:spacing w:line="288" w:lineRule="auto"/>
      <w:ind w:left="567" w:leftChars="-1" w:rightChars="0" w:hanging="283" w:firstLineChars="-1"/>
      <w:jc w:val="both"/>
      <w:textDirection w:val="btLr"/>
      <w:textAlignment w:val="top"/>
      <w:outlineLvl w:val="0"/>
    </w:pPr>
    <w:rPr>
      <w:w w:val="100"/>
      <w:position w:val="-1"/>
      <w:sz w:val="28"/>
      <w:effect w:val="none"/>
      <w:vertAlign w:val="baseline"/>
      <w:cs w:val="0"/>
      <w:em w:val="none"/>
      <w:lang w:bidi="ar-SA" w:eastAsia="ru-RU" w:val="uk-UA"/>
    </w:rPr>
  </w:style>
  <w:style w:type="paragraph" w:styleId="Стиль1">
    <w:name w:val="Стиль1"/>
    <w:basedOn w:val="Звичайний"/>
    <w:next w:val="Стиль1"/>
    <w:autoRedefine w:val="0"/>
    <w:hidden w:val="0"/>
    <w:qFormat w:val="0"/>
    <w:pPr>
      <w:suppressAutoHyphens w:val="1"/>
      <w:spacing w:line="288" w:lineRule="auto"/>
      <w:ind w:leftChars="-1" w:rightChars="0" w:firstLine="851" w:firstLineChars="-1"/>
      <w:textDirection w:val="btLr"/>
      <w:textAlignment w:val="top"/>
      <w:outlineLvl w:val="0"/>
    </w:pPr>
    <w:rPr>
      <w:b w:val="1"/>
      <w:w w:val="100"/>
      <w:position w:val="-1"/>
      <w:sz w:val="28"/>
      <w:effect w:val="none"/>
      <w:vertAlign w:val="baseline"/>
      <w:cs w:val="0"/>
      <w:em w:val="none"/>
      <w:lang w:bidi="ar-SA" w:eastAsia="ru-RU" w:val="uk-UA"/>
    </w:rPr>
  </w:style>
  <w:style w:type="paragraph" w:styleId="Текстувиносці">
    <w:name w:val="Текст у виносці"/>
    <w:basedOn w:val="Звичайний"/>
    <w:next w:val="Текстувиносці"/>
    <w:autoRedefine w:val="0"/>
    <w:hidden w:val="0"/>
    <w:qFormat w:val="0"/>
    <w:pPr>
      <w:suppressAutoHyphens w:val="1"/>
      <w:spacing w:line="288" w:lineRule="auto"/>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ru-RU" w:val="uk-UA"/>
    </w:rPr>
  </w:style>
  <w:style w:type="paragraph" w:styleId="СтандартнийHTML">
    <w:name w:val="Стандартний HTML"/>
    <w:basedOn w:val="Звичайний"/>
    <w:next w:val="СтандартнийHTML"/>
    <w:autoRedefine w:val="0"/>
    <w:hidden w:val="0"/>
    <w:qFormat w:val="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line="240" w:lineRule="auto"/>
      <w:ind w:leftChars="-1" w:rightChars="0" w:firstLineChars="-1"/>
      <w:textDirection w:val="btLr"/>
      <w:textAlignment w:val="top"/>
      <w:outlineLvl w:val="0"/>
    </w:pPr>
    <w:rPr>
      <w:rFonts w:ascii="Courier New" w:cs="Courier New" w:hAnsi="Courier New"/>
      <w:color w:val="000000"/>
      <w:w w:val="100"/>
      <w:position w:val="-1"/>
      <w:sz w:val="22"/>
      <w:szCs w:val="22"/>
      <w:effect w:val="none"/>
      <w:vertAlign w:val="baseline"/>
      <w:cs w:val="0"/>
      <w:em w:val="none"/>
      <w:lang w:bidi="ar-SA" w:eastAsia="ru-RU" w:val="ru-RU"/>
    </w:rPr>
  </w:style>
  <w:style w:type="paragraph" w:styleId="CharЗнакЗнакCharЗнакЗнакCharЗнакЗнакCharЗнакЗнакЗнакЗнакЗнакЗнакЗнакЗнакЗнакЗнакЗнакЗнакЗнакЗнакЗнакЗнакЗнакЗнакЗнакЗнакЗнакЗнакЗнак1Знак">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w:basedOn w:val="Звичайний"/>
    <w:next w:val="CharЗнакЗнакCharЗнакЗнакCharЗнакЗнакCharЗнакЗнакЗнакЗнакЗнакЗнакЗнакЗнакЗнакЗнакЗнакЗнакЗнакЗнакЗнакЗнакЗнакЗнакЗнакЗнакЗнакЗнакЗнак1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8"/>
      <w:szCs w:val="28"/>
      <w:effect w:val="none"/>
      <w:vertAlign w:val="baseline"/>
      <w:cs w:val="0"/>
      <w:em w:val="none"/>
      <w:lang w:bidi="ar-SA" w:eastAsia="en-US" w:val="en-US"/>
    </w:rPr>
  </w:style>
  <w:style w:type="paragraph" w:styleId="CharЗнакЗнакCharЗнакЗнакCharЗнакЗнакCharЗнакЗнакЗнакЗнакЗнакЗнакЗнакЗнакЗнакЗнакЗнакЗнакЗнакЗнакЗнакЗнакЗнакЗнакЗнакЗнакЗнакЗнакЗнак">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w:basedOn w:val="Звичайний"/>
    <w:next w:val="CharЗнакЗнакCharЗнакЗнакCharЗнакЗнакCharЗнакЗнакЗнакЗнакЗнакЗнакЗнакЗнакЗнакЗнакЗнакЗнакЗнакЗнакЗнакЗнакЗнакЗнакЗнак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8"/>
      <w:szCs w:val="28"/>
      <w:effect w:val="none"/>
      <w:vertAlign w:val="baseline"/>
      <w:cs w:val="0"/>
      <w:em w:val="none"/>
      <w:lang w:bidi="ar-SA" w:eastAsia="en-US" w:val="en-US"/>
    </w:rPr>
  </w:style>
  <w:style w:type="paragraph" w:styleId="ЗнакЗнакЗнакЗнакЗнакЗнакЗнакЗнак">
    <w:name w:val="Знак Знак Знак Знак Знак Знак Знак Знак"/>
    <w:basedOn w:val="Звичайний"/>
    <w:next w:val="ЗнакЗнакЗнакЗнак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0"/>
      <w:effect w:val="none"/>
      <w:vertAlign w:val="baseline"/>
      <w:cs w:val="0"/>
      <w:em w:val="none"/>
      <w:lang w:bidi="ar-SA" w:eastAsia="en-US" w:val="en-US"/>
    </w:rPr>
  </w:style>
  <w:style w:type="character" w:styleId="Гіперпосилання">
    <w:name w:val="Гіперпосилання"/>
    <w:next w:val="Гіперпосилання"/>
    <w:autoRedefine w:val="0"/>
    <w:hidden w:val="0"/>
    <w:qFormat w:val="0"/>
    <w:rPr>
      <w:color w:val="0000ff"/>
      <w:w w:val="100"/>
      <w:position w:val="-1"/>
      <w:u w:val="single"/>
      <w:effect w:val="none"/>
      <w:vertAlign w:val="baseline"/>
      <w:cs w:val="0"/>
      <w:em w:val="none"/>
      <w:lang/>
    </w:rPr>
  </w:style>
  <w:style w:type="character" w:styleId="Переглянутегіперпосилання">
    <w:name w:val="Переглянуте гіперпосилання"/>
    <w:next w:val="Переглянутегіперпосилання"/>
    <w:autoRedefine w:val="0"/>
    <w:hidden w:val="0"/>
    <w:qFormat w:val="0"/>
    <w:rPr>
      <w:color w:val="800080"/>
      <w:w w:val="100"/>
      <w:position w:val="-1"/>
      <w:u w:val="single"/>
      <w:effect w:val="none"/>
      <w:vertAlign w:val="baseline"/>
      <w:cs w:val="0"/>
      <w:em w:val="none"/>
      <w:lang/>
    </w:rPr>
  </w:style>
  <w:style w:type="paragraph" w:styleId="CharЗнакЗнакCharЗнакЗнакCharЗнакЗнакCharЗнакЗнакЗнакЗнакЗнакЗнакЗнакЗнакЗнакЗнакЗнакЗнакЗнакЗнакЗнакЗнакЗнак">
    <w:name w:val="Char Знак Знак Char Знак Знак Char Знак Знак Char Знак Знак Знак Знак Знак Знак Знак Знак Знак Знак Знак Знак Знак Знак Знак Знак Знак"/>
    <w:basedOn w:val="Звичайний"/>
    <w:next w:val="CharЗнакЗнакCharЗнакЗнакCharЗнакЗнакCharЗнакЗнакЗнакЗнакЗнакЗнакЗнакЗнакЗнакЗнакЗнакЗнакЗнак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8"/>
      <w:szCs w:val="28"/>
      <w:effect w:val="none"/>
      <w:vertAlign w:val="baseline"/>
      <w:cs w:val="0"/>
      <w:em w:val="none"/>
      <w:lang w:bidi="ar-SA" w:eastAsia="en-US" w:val="en-US"/>
    </w:rPr>
  </w:style>
  <w:style w:type="paragraph" w:styleId="CharЗнакЗнакCharЗнакЗнакCharЗнакЗнакCharЗнакЗнакЗнакЗнакЗнакЗнакЗнакЗнакЗнакЗнакЗнакЗнакЗнакЗнакЗнакЗнакЗнакЗнакЗнакЗнакЗнак">
    <w:name w:val="Char Знак Знак Char Знак Знак Char Знак Знак Char Знак Знак Знак Знак Знак Знак Знак Знак Знак Знак Знак Знак Знак Знак Знак Знак Знак Знак Знак Знак Знак"/>
    <w:basedOn w:val="Звичайний"/>
    <w:next w:val="CharЗнакЗнакCharЗнакЗнакCharЗнакЗнакCharЗнакЗнакЗнакЗнакЗнакЗнакЗнакЗнакЗнакЗнакЗнакЗнакЗнакЗнакЗнакЗнакЗнак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8"/>
      <w:szCs w:val="28"/>
      <w:effect w:val="none"/>
      <w:vertAlign w:val="baseline"/>
      <w:cs w:val="0"/>
      <w:em w:val="none"/>
      <w:lang w:bidi="ar-SA" w:eastAsia="en-US" w:val="en-US"/>
    </w:rPr>
  </w:style>
  <w:style w:type="paragraph" w:styleId="CharЗнакЗнакCharЗнакЗнакCharЗнакЗнакCharЗнакЗнакЗнакЗнакЗнакЗнакЗнакЗнакЗнакЗнакЗнакЗнакЗнакЗнакЗнакЗнакЗнакЗнакЗнакЗнакЗнакЗнакЗнак1ЗнакЗнакЗнак">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w:basedOn w:val="Звичайний"/>
    <w:next w:val="CharЗнакЗнакCharЗнакЗнакCharЗнакЗнакCharЗнакЗнакЗнакЗнакЗнакЗнакЗнакЗнакЗнакЗнакЗнакЗнакЗнакЗнакЗнакЗнакЗнакЗнакЗнакЗнакЗнакЗнакЗнак1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0"/>
      <w:effect w:val="none"/>
      <w:vertAlign w:val="baseline"/>
      <w:cs w:val="0"/>
      <w:em w:val="none"/>
      <w:lang w:bidi="ar-SA" w:eastAsia="en-US" w:val="uk-UA"/>
    </w:rPr>
  </w:style>
  <w:style w:type="paragraph" w:styleId="CharЗнакЗнакCharЗнакЗнакCharЗнакЗнакCharЗнакЗнакЗнакЗнакЗнакЗнакЗнакЗнакЗнакЗнакЗнакЗнакЗнакЗнакЗнакЗнакЗнакЗнакЗнакЗнакЗнакЗнак1ЗнакЗнакЗнакЗнакЗнакЗнакЗнакЗнакЗнакЗнакЗнак">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Звичайний"/>
    <w:next w:val="CharЗнакЗнакCharЗнакЗнакCharЗнакЗнакCharЗнакЗнакЗнакЗнакЗнакЗнакЗнакЗнакЗнакЗнакЗнакЗнакЗнакЗнакЗнакЗнакЗнакЗнакЗнакЗнакЗнакЗнак1ЗнакЗнакЗнакЗнакЗнакЗнакЗнак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0"/>
      <w:effect w:val="none"/>
      <w:vertAlign w:val="baseline"/>
      <w:cs w:val="0"/>
      <w:em w:val="none"/>
      <w:lang w:bidi="ar-SA" w:eastAsia="en-US" w:val="en-US"/>
    </w:rPr>
  </w:style>
  <w:style w:type="paragraph" w:styleId="CharЗнакЗнакCharЗнакЗнакCharЗнакЗнакCharЗнакЗнакЗнакЗнакЗнакЗнакЗнакЗнакЗнакЗнакЗнакЗнакЗнакЗнакЗнакЗнакЗнакЗнакЗнак">
    <w:name w:val="Char Знак Знак Char Знак Знак Char Знак Знак Char Знак Знак Знак Знак Знак Знак Знак Знак Знак Знак Знак Знак Знак Знак Знак Знак Знак Знак Знак"/>
    <w:basedOn w:val="Звичайний"/>
    <w:next w:val="CharЗнакЗнакCharЗнакЗнакCharЗнакЗнакCharЗнакЗнакЗнакЗнакЗнакЗнакЗнакЗнакЗнакЗнакЗнакЗнакЗнакЗнакЗнак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8"/>
      <w:szCs w:val="28"/>
      <w:effect w:val="none"/>
      <w:vertAlign w:val="baseline"/>
      <w:cs w:val="0"/>
      <w:em w:val="none"/>
      <w:lang w:bidi="ar-SA" w:eastAsia="en-US" w:val="en-US"/>
    </w:rPr>
  </w:style>
  <w:style w:type="paragraph" w:styleId="CharЗнакЗнакCharЗнакЗнакCharЗнакЗнакCharЗнакЗнакЗнакЗнакЗнакЗнакЗнакЗнакЗнакЗнакЗнакЗнакЗнакЗнакЗнакЗнакЗнакЗнакЗнакЗнакЗнакЗнакЗнак1ЗнакЗнакЗнакЗнакЗнакЗнак">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w:basedOn w:val="Звичайний"/>
    <w:next w:val="CharЗнакЗнакCharЗнакЗнакCharЗнакЗнакCharЗнакЗнакЗнакЗнакЗнакЗнакЗнакЗнакЗнакЗнакЗнакЗнакЗнакЗнакЗнакЗнакЗнакЗнакЗнакЗнакЗнакЗнакЗнак1ЗнакЗнак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0"/>
      <w:effect w:val="none"/>
      <w:vertAlign w:val="baseline"/>
      <w:cs w:val="0"/>
      <w:em w:val="none"/>
      <w:lang w:bidi="ar-SA" w:eastAsia="en-US" w:val="en-US"/>
    </w:rPr>
  </w:style>
  <w:style w:type="paragraph" w:styleId="ЗнакЗнакЗнак">
    <w:name w:val="Знак Знак Знак"/>
    <w:basedOn w:val="Звичайний"/>
    <w:next w:val="ЗнакЗнакЗнак"/>
    <w:autoRedefine w:val="0"/>
    <w:hidden w:val="0"/>
    <w:qFormat w:val="0"/>
    <w:pPr>
      <w:widowControl w:val="0"/>
      <w:suppressAutoHyphens w:val="0"/>
      <w:spacing w:line="240" w:lineRule="auto"/>
      <w:ind w:leftChars="-1" w:rightChars="0" w:firstLineChars="-1"/>
      <w:textDirection w:val="btLr"/>
      <w:textAlignment w:val="top"/>
      <w:outlineLvl w:val="0"/>
    </w:pPr>
    <w:rPr>
      <w:rFonts w:ascii="Verdana" w:cs="Verdana" w:eastAsia="Arial Unicode MS" w:hAnsi="Verdana"/>
      <w:w w:val="100"/>
      <w:position w:val="-1"/>
      <w:sz w:val="20"/>
      <w:effect w:val="none"/>
      <w:vertAlign w:val="baseline"/>
      <w:cs w:val="0"/>
      <w:em w:val="none"/>
      <w:lang w:bidi="ar-SA" w:eastAsia="en-US" w:val="uk-UA"/>
    </w:rPr>
  </w:style>
  <w:style w:type="paragraph" w:styleId="Знак0">
    <w:name w:val="Знак"/>
    <w:basedOn w:val="Звичайний"/>
    <w:next w:val="Знак0"/>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0"/>
      <w:effect w:val="none"/>
      <w:vertAlign w:val="baseline"/>
      <w:cs w:val="0"/>
      <w:em w:val="none"/>
      <w:lang w:bidi="ar-SA" w:eastAsia="en-US" w:val="en-US"/>
    </w:rPr>
  </w:style>
  <w:style w:type="paragraph" w:styleId="CharЗнакЗнакCharЗнакЗнакCharЗнакЗнакCharЗнакЗнакЗнакЗнакЗнакЗнакЗнакЗнакЗнакЗнакЗнакЗнакЗнакЗнакЗнакЗнакЗнакЗнакЗнакЗнакЗнакЗнакЗнак1ЗнакЗнак">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w:basedOn w:val="Звичайний"/>
    <w:next w:val="CharЗнакЗнакCharЗнакЗнакCharЗнакЗнакCharЗнакЗнакЗнакЗнакЗнакЗнакЗнакЗнакЗнакЗнакЗнакЗнакЗнакЗнакЗнакЗнакЗнакЗнакЗнакЗнакЗнакЗнакЗнак1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8"/>
      <w:szCs w:val="28"/>
      <w:effect w:val="none"/>
      <w:vertAlign w:val="baseline"/>
      <w:cs w:val="0"/>
      <w:em w:val="none"/>
      <w:lang w:bidi="ar-SA" w:eastAsia="en-US" w:val="en-US"/>
    </w:rPr>
  </w:style>
  <w:style w:type="paragraph" w:styleId="Звичайний(веб),Обычный(веб)Знак2,Обычный(веб)Знак1Знак,Обычный(веб)Знак2Знак1Знак,Обычный(веб)Знак1ЗнакЗнакЗнак,Обычный(веб)ЗнакЗнакЗнакЗнакЗнак,Обычный(Web)ЗнакЗнакЗнакЗнакЗнак,Обычный(Web)Знак1ЗнакЗнакЗнак,Обычный(Web)">
    <w:name w:val="Звичайний (веб),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Звичайний"/>
    <w:next w:val="Звичайний(веб),Обычный(веб)Знак2,Обычный(веб)Знак1Знак,Обычный(веб)Знак2Знак1Знак,Обычный(веб)Знак1ЗнакЗнакЗнак,Обычный(веб)ЗнакЗнакЗнакЗнакЗнак,Обычный(Web)ЗнакЗнакЗнакЗнакЗнак,Обычный(Web)Знак1ЗнакЗнакЗнак,Обычный(Web)"/>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w w:val="100"/>
      <w:position w:val="-1"/>
      <w:sz w:val="24"/>
      <w:szCs w:val="24"/>
      <w:effect w:val="none"/>
      <w:vertAlign w:val="baseline"/>
      <w:cs w:val="0"/>
      <w:em w:val="none"/>
      <w:lang w:bidi="ar-SA" w:eastAsia="uk-UA" w:val="uk-UA"/>
    </w:rPr>
  </w:style>
  <w:style w:type="paragraph" w:styleId="Знак">
    <w:name w:val="Знак"/>
    <w:basedOn w:val="Звичайний"/>
    <w:next w:val="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0"/>
      <w:effect w:val="none"/>
      <w:vertAlign w:val="baseline"/>
      <w:cs w:val="0"/>
      <w:em w:val="none"/>
      <w:lang w:bidi="ar-SA" w:eastAsia="en-US" w:val="en-US"/>
    </w:rPr>
  </w:style>
  <w:style w:type="paragraph" w:styleId="CharЗнакЗнакCharЗнакЗнакCharЗнакЗнакCharЗнакЗнакЗнакЗнакЗнакЗнакЗнакЗнакЗнакЗнакЗнакЗнакЗнакЗнакЗнакЗнакЗнакЗнакЗнакЗнакЗнакЗнакЗнак1ЗнакЗнакЗнакЗнакЗнакЗнакЗнакЗнак">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Звичайний"/>
    <w:next w:val="CharЗнакЗнакCharЗнакЗнакCharЗнакЗнакCharЗнакЗнакЗнакЗнакЗнакЗнакЗнакЗнакЗнакЗнакЗнакЗнакЗнакЗнакЗнакЗнакЗнакЗнакЗнакЗнакЗнакЗнакЗнак1ЗнакЗнакЗнакЗнак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0"/>
      <w:effect w:val="none"/>
      <w:vertAlign w:val="baseline"/>
      <w:cs w:val="0"/>
      <w:em w:val="none"/>
      <w:lang w:bidi="ar-SA" w:eastAsia="en-US" w:val="en-US"/>
    </w:rPr>
  </w:style>
  <w:style w:type="paragraph" w:styleId="CharЗнакЗнакCharЗнакЗнакCharЗнакЗнакCharЗнакЗнакЗнакЗнакЗнакЗнакЗнакЗнакЗнакЗнакЗнакЗнакЗнакЗнакЗнакЗнакЗнакЗнакЗнакЗнакЗнакЗнакЗнакЗнакЗнакЗнак">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Знак"/>
    <w:basedOn w:val="Звичайний"/>
    <w:next w:val="CharЗнакЗнакCharЗнакЗнакCharЗнакЗнакCharЗнакЗнакЗнакЗнакЗнакЗнакЗнакЗнакЗнакЗнакЗнакЗнакЗнакЗнакЗнакЗнакЗнакЗнакЗнакЗнакЗнакЗнак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8"/>
      <w:szCs w:val="28"/>
      <w:effect w:val="none"/>
      <w:vertAlign w:val="baseline"/>
      <w:cs w:val="0"/>
      <w:em w:val="none"/>
      <w:lang w:bidi="ar-SA" w:eastAsia="en-US" w:val="en-US"/>
    </w:rPr>
  </w:style>
  <w:style w:type="paragraph" w:styleId="ЗнакЗнакЗнакЗнакЗнак2Знак">
    <w:name w:val="Знак Знак Знак Знак Знак2 Знак"/>
    <w:basedOn w:val="Звичайний"/>
    <w:next w:val="ЗнакЗнакЗнакЗнакЗнак2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0"/>
      <w:effect w:val="none"/>
      <w:vertAlign w:val="baseline"/>
      <w:cs w:val="0"/>
      <w:em w:val="none"/>
      <w:lang w:bidi="ar-SA" w:eastAsia="en-US" w:val="uk-UA"/>
    </w:rPr>
  </w:style>
  <w:style w:type="paragraph" w:styleId="ЗнакЗнакЗнак1ЗнакЗнакЗнакЗнакЗнакЗнакЗнак">
    <w:name w:val="Знак Знак Знак1 Знак Знак Знак Знак Знак Знак Знак"/>
    <w:basedOn w:val="Звичайний"/>
    <w:next w:val="ЗнакЗнакЗнак1ЗнакЗнакЗнак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0"/>
      <w:effect w:val="none"/>
      <w:vertAlign w:val="baseline"/>
      <w:cs w:val="0"/>
      <w:em w:val="none"/>
      <w:lang w:bidi="ar-SA" w:eastAsia="en-US" w:val="en-US"/>
    </w:rPr>
  </w:style>
  <w:style w:type="paragraph" w:styleId="Index">
    <w:name w:val="Index"/>
    <w:basedOn w:val="Звичайний"/>
    <w:next w:val="Index"/>
    <w:autoRedefine w:val="0"/>
    <w:hidden w:val="0"/>
    <w:qFormat w:val="0"/>
    <w:pPr>
      <w:suppressLineNumbers w:val="1"/>
      <w:suppressAutoHyphens w:val="0"/>
      <w:spacing w:line="240" w:lineRule="auto"/>
      <w:ind w:leftChars="-1" w:rightChars="0" w:firstLineChars="-1"/>
      <w:textDirection w:val="btLr"/>
      <w:textAlignment w:val="top"/>
      <w:outlineLvl w:val="0"/>
    </w:pPr>
    <w:rPr>
      <w:rFonts w:ascii="Liberation Serif" w:cs="Arial Unicode MS" w:hAnsi="Liberation Serif"/>
      <w:w w:val="100"/>
      <w:kern w:val="2"/>
      <w:position w:val="-1"/>
      <w:sz w:val="24"/>
      <w:szCs w:val="24"/>
      <w:effect w:val="none"/>
      <w:vertAlign w:val="baseline"/>
      <w:cs w:val="0"/>
      <w:em w:val="none"/>
      <w:lang w:bidi="hi-IN" w:eastAsia="zh-CN" w:val="en-US"/>
    </w:rPr>
  </w:style>
  <w:style w:type="character" w:styleId="Звичайний(веб)Знак,Обычный(веб)Знак2Знак,Обычный(веб)Знак1ЗнакЗнак,Обычный(веб)Знак2Знак1ЗнакЗнак,Обычный(веб)Знак1ЗнакЗнакЗнакЗнак,Обычный(веб)ЗнакЗнакЗнакЗнакЗнакЗнак,Обычный(Web)ЗнакЗнакЗнакЗнакЗнакЗнак">
    <w:name w:val="Звичайний (веб)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next w:val="Звичайний(веб)Знак,Обычный(веб)Знак2Знак,Обычный(веб)Знак1ЗнакЗнак,Обычный(веб)Знак2Знак1ЗнакЗнак,Обычный(веб)Знак1ЗнакЗнакЗнакЗнак,Обычный(веб)ЗнакЗнакЗнакЗнакЗнакЗнак,Обычный(Web)ЗнакЗнакЗнакЗнакЗнакЗнак"/>
    <w:autoRedefine w:val="0"/>
    <w:hidden w:val="0"/>
    <w:qFormat w:val="0"/>
    <w:rPr>
      <w:w w:val="100"/>
      <w:position w:val="-1"/>
      <w:sz w:val="24"/>
      <w:szCs w:val="24"/>
      <w:effect w:val="none"/>
      <w:vertAlign w:val="baseline"/>
      <w:cs w:val="0"/>
      <w:em w:val="none"/>
      <w:lang w:bidi="ar-SA" w:eastAsia="uk-UA" w:val="uk-UA"/>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Calibri" w:hAnsi="Calibri"/>
      <w:w w:val="100"/>
      <w:position w:val="-1"/>
      <w:sz w:val="22"/>
      <w:szCs w:val="22"/>
      <w:effect w:val="none"/>
      <w:vertAlign w:val="baseline"/>
      <w:cs w:val="0"/>
      <w:em w:val="none"/>
      <w:lang w:bidi="ar-SA" w:eastAsia="en-US" w:val="ru-RU"/>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ЗнакЗнакЗнакЗнак">
    <w:name w:val="Знак Знак Знак Знак"/>
    <w:basedOn w:val="Звичайний"/>
    <w:next w:val="ЗнакЗнакЗнакЗнак"/>
    <w:autoRedefine w:val="0"/>
    <w:hidden w:val="0"/>
    <w:qFormat w:val="0"/>
    <w:pPr>
      <w:suppressAutoHyphens w:val="1"/>
      <w:spacing w:line="240" w:lineRule="auto"/>
      <w:ind w:leftChars="-1" w:rightChars="0" w:firstLineChars="-1"/>
      <w:textDirection w:val="btLr"/>
      <w:textAlignment w:val="top"/>
      <w:outlineLvl w:val="0"/>
    </w:pPr>
    <w:rPr>
      <w:rFonts w:ascii="Verdana" w:cs="Verdana" w:hAnsi="Verdana"/>
      <w:w w:val="100"/>
      <w:position w:val="-1"/>
      <w:sz w:val="28"/>
      <w:szCs w:val="28"/>
      <w:effect w:val="none"/>
      <w:vertAlign w:val="baseline"/>
      <w:cs w:val="0"/>
      <w:em w:val="none"/>
      <w:lang w:bidi="ar-SA" w:eastAsia="en-US" w:val="en-US"/>
    </w:rPr>
  </w:style>
  <w:style w:type="paragraph" w:styleId="ListParagraph">
    <w:name w:val="List Paragraph"/>
    <w:basedOn w:val="Звичайний"/>
    <w:next w:val="ListParagraph"/>
    <w:autoRedefine w:val="0"/>
    <w:hidden w:val="0"/>
    <w:qFormat w:val="0"/>
    <w:pPr>
      <w:suppressAutoHyphens w:val="1"/>
      <w:spacing w:line="240" w:lineRule="auto"/>
      <w:ind w:left="720" w:leftChars="-1" w:rightChars="0" w:firstLineChars="-1"/>
      <w:contextualSpacing w:val="1"/>
      <w:textDirection w:val="btLr"/>
      <w:textAlignment w:val="top"/>
      <w:outlineLvl w:val="0"/>
    </w:pPr>
    <w:rPr>
      <w:w w:val="100"/>
      <w:position w:val="-1"/>
      <w:sz w:val="24"/>
      <w:szCs w:val="24"/>
      <w:effect w:val="none"/>
      <w:vertAlign w:val="baseline"/>
      <w:cs w:val="0"/>
      <w:em w:val="none"/>
      <w:lang w:bidi="ar-SA" w:eastAsia="ru-RU" w:val="ru-RU"/>
    </w:rPr>
  </w:style>
  <w:style w:type="paragraph" w:styleId="Безинтервала1">
    <w:name w:val="Без интервала1"/>
    <w:next w:val="Безинтервала1"/>
    <w:autoRedefine w:val="0"/>
    <w:hidden w:val="0"/>
    <w:qFormat w:val="0"/>
    <w:pPr>
      <w:suppressAutoHyphens w:val="1"/>
      <w:spacing w:line="1" w:lineRule="atLeast"/>
      <w:ind w:leftChars="-1" w:rightChars="0" w:firstLineChars="-1"/>
      <w:textDirection w:val="btLr"/>
      <w:textAlignment w:val="top"/>
      <w:outlineLvl w:val="0"/>
    </w:pPr>
    <w:rPr>
      <w:rFonts w:ascii="Calibri" w:hAnsi="Calibri"/>
      <w:w w:val="100"/>
      <w:position w:val="-1"/>
      <w:sz w:val="22"/>
      <w:szCs w:val="22"/>
      <w:effect w:val="none"/>
      <w:vertAlign w:val="baseline"/>
      <w:cs w:val="0"/>
      <w:em w:val="none"/>
      <w:lang w:bidi="ar-SA" w:eastAsia="en-US" w:val="en-US"/>
    </w:rPr>
  </w:style>
  <w:style w:type="character" w:styleId="ОсновнийтекстЗнак">
    <w:name w:val="Основний текст Знак"/>
    <w:next w:val="ОсновнийтекстЗнак"/>
    <w:autoRedefine w:val="0"/>
    <w:hidden w:val="0"/>
    <w:qFormat w:val="0"/>
    <w:rPr>
      <w:b w:val="1"/>
      <w:w w:val="100"/>
      <w:position w:val="-1"/>
      <w:sz w:val="28"/>
      <w:effect w:val="none"/>
      <w:vertAlign w:val="baseline"/>
      <w:cs w:val="0"/>
      <w:em w:val="none"/>
      <w:lang w:bidi="ar-SA" w:eastAsia="ru-RU" w:val="uk-UA"/>
    </w:rPr>
  </w:style>
  <w:style w:type="paragraph" w:styleId="rvps2">
    <w:name w:val="rvps2"/>
    <w:basedOn w:val="Звичайний"/>
    <w:next w:val="rvps2"/>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w w:val="100"/>
      <w:position w:val="-1"/>
      <w:sz w:val="24"/>
      <w:szCs w:val="24"/>
      <w:effect w:val="none"/>
      <w:vertAlign w:val="baseline"/>
      <w:cs w:val="0"/>
      <w:em w:val="none"/>
      <w:lang w:bidi="ar-SA" w:eastAsia="uk-UA" w:val="uk-UA"/>
    </w:rPr>
  </w:style>
  <w:style w:type="paragraph" w:styleId="Абзацсписку">
    <w:name w:val="Абзац списку"/>
    <w:basedOn w:val="Звичайний"/>
    <w:next w:val="Абзацсписку"/>
    <w:autoRedefine w:val="0"/>
    <w:hidden w:val="0"/>
    <w:qFormat w:val="0"/>
    <w:pPr>
      <w:suppressAutoHyphens w:val="1"/>
      <w:spacing w:line="240" w:lineRule="auto"/>
      <w:ind w:left="720" w:leftChars="-1" w:rightChars="0" w:firstLineChars="-1"/>
      <w:contextualSpacing w:val="1"/>
      <w:textDirection w:val="btLr"/>
      <w:textAlignment w:val="top"/>
      <w:outlineLvl w:val="0"/>
    </w:pPr>
    <w:rPr>
      <w:rFonts w:ascii="Calibri" w:cs="Calibri" w:eastAsia="Calibri" w:hAnsi="Calibri"/>
      <w:w w:val="100"/>
      <w:position w:val="-1"/>
      <w:sz w:val="20"/>
      <w:effect w:val="none"/>
      <w:vertAlign w:val="baseline"/>
      <w:cs w:val="0"/>
      <w:em w:val="none"/>
      <w:lang w:bidi="ar-SA" w:eastAsia="uk-UA" w:val="uk-UA"/>
    </w:rPr>
  </w:style>
  <w:style w:type="character" w:styleId="НижнійколонтитулЗнак">
    <w:name w:val="Нижній колонтитул Знак"/>
    <w:next w:val="НижнійколонтитулЗнак"/>
    <w:autoRedefine w:val="0"/>
    <w:hidden w:val="0"/>
    <w:qFormat w:val="0"/>
    <w:rPr>
      <w:w w:val="100"/>
      <w:position w:val="-1"/>
      <w:sz w:val="28"/>
      <w:effect w:val="none"/>
      <w:vertAlign w:val="baseline"/>
      <w:cs w:val="0"/>
      <w:em w:val="none"/>
      <w:lang w:eastAsia="ru-RU"/>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n4cLrWkK9vHbDkeY+h5VxGCRpw==">CgMxLjAyD2lkLnlua3ZoM2dxbm1xZTIJaWQuZ2pkZ3hzMg5oLjd2YzFzZDhmNHNqcDIPaWQueGx0NzI1NnMxb3FhMghoLmdqZGd4czgAciExUVZpMC1DNVRaNUpxZWtSb0IwR2ZnRUZOWG54WmlxbGk=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2026-08-20T12:48:00Z</dcterms:created>
  <dc:creator>Rada1</dc:creator>
</cp:coreProperties>
</file>