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6779" w14:textId="77777777" w:rsidR="004456CE" w:rsidRDefault="00D54C78">
      <w:pPr>
        <w:spacing w:after="0"/>
        <w:ind w:firstLine="567"/>
        <w:jc w:val="center"/>
        <w:rPr>
          <w:rFonts w:asciiTheme="majorHAnsi" w:eastAsia="Times New Roman" w:hAnsiTheme="majorHAnsi" w:cstheme="minorHAnsi"/>
          <w:sz w:val="28"/>
          <w:szCs w:val="28"/>
          <w:lang w:eastAsia="uk-UA"/>
        </w:rPr>
      </w:pPr>
      <w:r>
        <w:rPr>
          <w:rFonts w:asciiTheme="majorHAnsi" w:eastAsia="Times New Roman" w:hAnsiTheme="majorHAnsi" w:cstheme="minorHAnsi"/>
          <w:b/>
          <w:bCs/>
          <w:sz w:val="28"/>
          <w:szCs w:val="28"/>
          <w:lang w:eastAsia="uk-UA"/>
        </w:rPr>
        <w:t>ЗАЯВА</w:t>
      </w:r>
    </w:p>
    <w:p w14:paraId="2C55F3D4" w14:textId="77777777" w:rsidR="004456CE" w:rsidRDefault="00D54C78">
      <w:pPr>
        <w:spacing w:after="0"/>
        <w:ind w:firstLine="567"/>
        <w:jc w:val="center"/>
        <w:rPr>
          <w:rFonts w:asciiTheme="majorHAnsi" w:eastAsia="Times New Roman" w:hAnsiTheme="majorHAnsi" w:cstheme="minorHAnsi"/>
          <w:sz w:val="28"/>
          <w:szCs w:val="28"/>
          <w:lang w:eastAsia="uk-UA"/>
        </w:rPr>
      </w:pPr>
      <w:r>
        <w:rPr>
          <w:rFonts w:asciiTheme="majorHAnsi" w:eastAsia="Times New Roman" w:hAnsiTheme="majorHAnsi" w:cstheme="minorHAnsi"/>
          <w:b/>
          <w:bCs/>
          <w:sz w:val="28"/>
          <w:szCs w:val="28"/>
          <w:lang w:eastAsia="uk-UA"/>
        </w:rPr>
        <w:t>про визначення обсягу стратегічної екологічної оцінки</w:t>
      </w:r>
    </w:p>
    <w:p w14:paraId="06009FA4" w14:textId="77777777" w:rsidR="004456CE" w:rsidRDefault="004456CE">
      <w:pPr>
        <w:spacing w:after="0"/>
        <w:ind w:firstLine="567"/>
        <w:rPr>
          <w:rFonts w:asciiTheme="majorHAnsi" w:hAnsiTheme="majorHAnsi"/>
          <w:sz w:val="28"/>
          <w:szCs w:val="28"/>
        </w:rPr>
      </w:pPr>
    </w:p>
    <w:p w14:paraId="1F5B9FDB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Замовник:</w:t>
      </w:r>
    </w:p>
    <w:p w14:paraId="59FA91D9" w14:textId="77777777" w:rsidR="004456CE" w:rsidRDefault="00D54C78">
      <w:pPr>
        <w:pStyle w:val="5"/>
        <w:shd w:val="clear" w:color="auto" w:fill="FFFFFF"/>
        <w:spacing w:beforeAutospacing="0" w:line="210" w:lineRule="atLeast"/>
        <w:jc w:val="both"/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</w:rPr>
      </w:pPr>
      <w:r>
        <w:rPr>
          <w:rFonts w:asciiTheme="majorHAnsi" w:hAnsiTheme="majorHAnsi" w:hint="default"/>
          <w:b w:val="0"/>
          <w:bCs w:val="0"/>
          <w:sz w:val="28"/>
          <w:szCs w:val="28"/>
          <w:lang w:val="uk-UA"/>
        </w:rPr>
        <w:t xml:space="preserve"> </w:t>
      </w:r>
      <w:proofErr w:type="spellStart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>Управління</w:t>
      </w:r>
      <w:proofErr w:type="spellEnd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>просторового</w:t>
      </w:r>
      <w:proofErr w:type="spellEnd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>розвитку</w:t>
      </w:r>
      <w:proofErr w:type="spellEnd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>та</w:t>
      </w:r>
      <w:proofErr w:type="spellEnd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>ресурсів</w:t>
      </w:r>
      <w:proofErr w:type="spellEnd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>Жовківської</w:t>
      </w:r>
      <w:proofErr w:type="spellEnd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>ради</w:t>
      </w:r>
      <w:proofErr w:type="spellEnd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>вул</w:t>
      </w:r>
      <w:proofErr w:type="spellEnd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>Львівська</w:t>
      </w:r>
      <w:proofErr w:type="spellEnd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 xml:space="preserve">, 40, м. </w:t>
      </w:r>
      <w:proofErr w:type="spellStart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>Жовква</w:t>
      </w:r>
      <w:proofErr w:type="spellEnd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>Львівський</w:t>
      </w:r>
      <w:proofErr w:type="spellEnd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 xml:space="preserve"> р-н., </w:t>
      </w:r>
      <w:proofErr w:type="spellStart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>Львівська</w:t>
      </w:r>
      <w:proofErr w:type="spellEnd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>обл</w:t>
      </w:r>
      <w:proofErr w:type="spellEnd"/>
      <w:r>
        <w:rPr>
          <w:rFonts w:asciiTheme="majorHAnsi" w:eastAsia="sans-serif" w:hAnsiTheme="majorHAnsi" w:hint="default"/>
          <w:b w:val="0"/>
          <w:bCs w:val="0"/>
          <w:color w:val="333333"/>
          <w:sz w:val="28"/>
          <w:szCs w:val="28"/>
          <w:shd w:val="clear" w:color="auto" w:fill="FFFFFF"/>
        </w:rPr>
        <w:t>. 80300).</w:t>
      </w:r>
    </w:p>
    <w:p w14:paraId="025E85DE" w14:textId="77777777" w:rsidR="004456CE" w:rsidRDefault="00D54C78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Назва документа </w:t>
      </w:r>
      <w:r>
        <w:rPr>
          <w:rFonts w:asciiTheme="majorHAnsi" w:hAnsiTheme="majorHAnsi"/>
          <w:b/>
          <w:sz w:val="28"/>
          <w:szCs w:val="28"/>
        </w:rPr>
        <w:t>державного планування:</w:t>
      </w:r>
    </w:p>
    <w:p w14:paraId="6A5F63C4" w14:textId="77777777" w:rsidR="004456CE" w:rsidRDefault="004456CE">
      <w:pPr>
        <w:pStyle w:val="a4"/>
        <w:tabs>
          <w:tab w:val="left" w:pos="567"/>
          <w:tab w:val="left" w:pos="1134"/>
        </w:tabs>
        <w:spacing w:after="0"/>
        <w:ind w:left="567"/>
        <w:rPr>
          <w:rFonts w:asciiTheme="majorHAnsi" w:hAnsiTheme="majorHAnsi"/>
          <w:b/>
          <w:sz w:val="28"/>
          <w:szCs w:val="28"/>
        </w:rPr>
      </w:pPr>
    </w:p>
    <w:p w14:paraId="705F4A37" w14:textId="77777777" w:rsidR="004456CE" w:rsidRDefault="00D54C78">
      <w:pPr>
        <w:tabs>
          <w:tab w:val="left" w:pos="567"/>
          <w:tab w:val="left" w:pos="1134"/>
        </w:tabs>
        <w:spacing w:after="0"/>
        <w:ind w:right="-2" w:firstLine="567"/>
        <w:jc w:val="both"/>
        <w:rPr>
          <w:rFonts w:asciiTheme="majorHAnsi" w:hAnsiTheme="majorHAnsi" w:cstheme="minorHAnsi"/>
          <w:sz w:val="28"/>
          <w:szCs w:val="28"/>
          <w:lang w:eastAsia="uk-UA"/>
        </w:rPr>
      </w:pPr>
      <w:r>
        <w:rPr>
          <w:rFonts w:asciiTheme="majorHAnsi" w:hAnsiTheme="majorHAnsi" w:cstheme="minorHAnsi"/>
          <w:sz w:val="28"/>
          <w:szCs w:val="28"/>
          <w:lang w:eastAsia="uk-UA"/>
        </w:rPr>
        <w:t>Детальний план території для обслуговування об’єктів нерухомого майна ФГ «Кулява» в с. Кулява  Львівського району Львівської області</w:t>
      </w:r>
    </w:p>
    <w:p w14:paraId="6E56CF63" w14:textId="77777777" w:rsidR="004456CE" w:rsidRDefault="004456CE">
      <w:pPr>
        <w:tabs>
          <w:tab w:val="left" w:pos="567"/>
          <w:tab w:val="left" w:pos="1134"/>
        </w:tabs>
        <w:spacing w:after="0"/>
        <w:ind w:right="-2" w:firstLine="567"/>
        <w:jc w:val="both"/>
        <w:rPr>
          <w:rFonts w:asciiTheme="majorHAnsi" w:hAnsiTheme="majorHAnsi" w:cstheme="minorHAnsi"/>
          <w:sz w:val="28"/>
          <w:szCs w:val="28"/>
          <w:lang w:eastAsia="uk-UA"/>
        </w:rPr>
      </w:pPr>
    </w:p>
    <w:p w14:paraId="1FCB95F7" w14:textId="77777777" w:rsidR="004456CE" w:rsidRDefault="00D54C78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right="-2" w:firstLine="56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Основні цілі документа державного планування, його зв’язок з іншими документами державного планува</w:t>
      </w:r>
      <w:r>
        <w:rPr>
          <w:rFonts w:asciiTheme="majorHAnsi" w:hAnsiTheme="majorHAnsi"/>
          <w:b/>
          <w:sz w:val="28"/>
          <w:szCs w:val="28"/>
        </w:rPr>
        <w:t>ння</w:t>
      </w:r>
    </w:p>
    <w:p w14:paraId="2F9B621F" w14:textId="77777777" w:rsidR="004456CE" w:rsidRDefault="004456CE">
      <w:pPr>
        <w:pStyle w:val="a4"/>
        <w:tabs>
          <w:tab w:val="left" w:pos="567"/>
          <w:tab w:val="left" w:pos="1134"/>
        </w:tabs>
        <w:spacing w:after="0"/>
        <w:ind w:left="567" w:right="-2"/>
        <w:rPr>
          <w:rFonts w:asciiTheme="majorHAnsi" w:hAnsiTheme="majorHAnsi"/>
          <w:b/>
          <w:sz w:val="28"/>
          <w:szCs w:val="28"/>
        </w:rPr>
      </w:pPr>
    </w:p>
    <w:p w14:paraId="753F471C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Детальний план на території с. Кулява розроблений на підставі рішення Жовківської міської ради №40 від 25.10.2024 року «Про надання дозволу на розроблення детального плану території, орієнтовною площею 6,5 га в селі Кулява, на якій </w:t>
      </w:r>
      <w:r>
        <w:rPr>
          <w:rFonts w:asciiTheme="majorHAnsi" w:hAnsiTheme="majorHAnsi" w:cstheme="minorHAnsi"/>
          <w:sz w:val="28"/>
          <w:szCs w:val="28"/>
        </w:rPr>
        <w:t>розташовані об`єкти нерухомого майна, що перебувають у власності ФГ «Кулява»</w:t>
      </w:r>
      <w:r>
        <w:rPr>
          <w:rFonts w:asciiTheme="majorHAnsi" w:hAnsiTheme="majorHAnsi" w:cstheme="minorHAnsi"/>
          <w:sz w:val="28"/>
          <w:szCs w:val="28"/>
        </w:rPr>
        <w:t>.</w:t>
      </w:r>
    </w:p>
    <w:p w14:paraId="35259184" w14:textId="77777777" w:rsidR="004456CE" w:rsidRDefault="00D54C78">
      <w:pPr>
        <w:pStyle w:val="a5"/>
        <w:tabs>
          <w:tab w:val="left" w:pos="567"/>
          <w:tab w:val="left" w:pos="1134"/>
        </w:tabs>
        <w:spacing w:after="0" w:line="276" w:lineRule="auto"/>
        <w:ind w:left="0" w:right="0"/>
        <w:rPr>
          <w:rFonts w:asciiTheme="majorHAnsi" w:hAnsiTheme="majorHAnsi" w:cstheme="minorHAnsi"/>
          <w:color w:val="auto"/>
          <w:sz w:val="28"/>
          <w:szCs w:val="28"/>
          <w:lang w:val="uk-UA"/>
        </w:rPr>
      </w:pPr>
      <w:r>
        <w:rPr>
          <w:rFonts w:asciiTheme="majorHAnsi" w:hAnsiTheme="majorHAnsi" w:cstheme="minorHAnsi"/>
          <w:color w:val="auto"/>
          <w:sz w:val="28"/>
          <w:szCs w:val="28"/>
        </w:rPr>
        <w:t>Основним видом містобудівної документації на місцевому рівні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>,</w:t>
      </w:r>
      <w:r>
        <w:rPr>
          <w:rFonts w:asciiTheme="majorHAnsi" w:hAnsiTheme="majorHAnsi" w:cstheme="minorHAnsi"/>
          <w:color w:val="auto"/>
          <w:sz w:val="28"/>
          <w:szCs w:val="28"/>
        </w:rPr>
        <w:t xml:space="preserve"> що формує довгострокову перспективу проектованої території на даний час є генеральний план 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 xml:space="preserve">території </w:t>
      </w:r>
      <w:r>
        <w:rPr>
          <w:rFonts w:asciiTheme="majorHAnsi" w:hAnsiTheme="majorHAnsi" w:cstheme="minorHAnsi"/>
          <w:color w:val="auto"/>
          <w:sz w:val="28"/>
          <w:szCs w:val="28"/>
        </w:rPr>
        <w:t xml:space="preserve">села Кулява. 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>Зг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>ідно з ним,</w:t>
      </w:r>
      <w:r>
        <w:rPr>
          <w:rFonts w:asciiTheme="majorHAnsi" w:hAnsiTheme="majorHAnsi" w:cstheme="minorHAnsi"/>
          <w:color w:val="auto"/>
          <w:sz w:val="28"/>
          <w:szCs w:val="28"/>
        </w:rPr>
        <w:t xml:space="preserve"> дан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>а</w:t>
      </w:r>
      <w:r>
        <w:rPr>
          <w:rFonts w:asciiTheme="majorHAnsi" w:hAnsiTheme="majorHAnsi" w:cstheme="minorHAnsi"/>
          <w:color w:val="auto"/>
          <w:sz w:val="28"/>
          <w:szCs w:val="28"/>
        </w:rPr>
        <w:t xml:space="preserve"> 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 xml:space="preserve">ділянка передбачена </w:t>
      </w:r>
      <w:r>
        <w:rPr>
          <w:rFonts w:asciiTheme="majorHAnsi" w:hAnsiTheme="majorHAnsi" w:cstheme="minorHAnsi"/>
          <w:color w:val="auto"/>
          <w:sz w:val="28"/>
          <w:szCs w:val="28"/>
        </w:rPr>
        <w:t>для потреб виробничого призначення. На даний час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 xml:space="preserve"> – </w:t>
      </w:r>
      <w:r>
        <w:rPr>
          <w:rFonts w:asciiTheme="majorHAnsi" w:hAnsiTheme="majorHAnsi" w:cstheme="minorHAnsi"/>
          <w:color w:val="auto"/>
          <w:sz w:val="28"/>
          <w:szCs w:val="28"/>
        </w:rPr>
        <w:t xml:space="preserve">це землі промисловості, транспорту, зв’язку, енергетики, оборони та 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>ін.,</w:t>
      </w:r>
      <w:r>
        <w:rPr>
          <w:rFonts w:asciiTheme="majorHAnsi" w:hAnsiTheme="majorHAnsi" w:cstheme="minorHAnsi"/>
          <w:color w:val="auto"/>
          <w:sz w:val="28"/>
          <w:szCs w:val="28"/>
        </w:rPr>
        <w:t xml:space="preserve"> з цільовим призначенням 11.02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 xml:space="preserve"> – </w:t>
      </w:r>
      <w:r>
        <w:rPr>
          <w:rFonts w:asciiTheme="majorHAnsi" w:hAnsiTheme="majorHAnsi" w:cstheme="minorHAnsi"/>
          <w:color w:val="auto"/>
          <w:sz w:val="28"/>
          <w:szCs w:val="28"/>
        </w:rPr>
        <w:t>для розміщення та експлуатації основних, підсобних і допоміжних</w:t>
      </w:r>
      <w:r>
        <w:rPr>
          <w:rFonts w:asciiTheme="majorHAnsi" w:hAnsiTheme="majorHAnsi" w:cstheme="minorHAnsi"/>
          <w:color w:val="auto"/>
          <w:sz w:val="28"/>
          <w:szCs w:val="28"/>
        </w:rPr>
        <w:t xml:space="preserve"> будівель та споруд підприємств переробної, машинобудівної та іншої промисловості.</w:t>
      </w:r>
    </w:p>
    <w:p w14:paraId="616856D3" w14:textId="77777777" w:rsidR="004456CE" w:rsidRDefault="00D54C78">
      <w:pPr>
        <w:pStyle w:val="a5"/>
        <w:tabs>
          <w:tab w:val="left" w:pos="567"/>
          <w:tab w:val="left" w:pos="1134"/>
        </w:tabs>
        <w:spacing w:after="0" w:line="276" w:lineRule="auto"/>
        <w:ind w:left="0" w:right="0"/>
        <w:rPr>
          <w:rFonts w:asciiTheme="majorHAnsi" w:hAnsiTheme="majorHAnsi" w:cstheme="minorHAnsi"/>
          <w:color w:val="auto"/>
          <w:sz w:val="28"/>
          <w:szCs w:val="28"/>
          <w:lang w:val="uk-UA"/>
        </w:rPr>
      </w:pPr>
      <w:r>
        <w:rPr>
          <w:rFonts w:asciiTheme="majorHAnsi" w:hAnsiTheme="majorHAnsi" w:cstheme="minorHAnsi"/>
          <w:color w:val="auto"/>
          <w:sz w:val="28"/>
          <w:szCs w:val="28"/>
        </w:rPr>
        <w:t>Відповідно до положень даного детального плану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>,</w:t>
      </w:r>
      <w:r>
        <w:rPr>
          <w:rFonts w:asciiTheme="majorHAnsi" w:hAnsiTheme="majorHAnsi" w:cstheme="minorHAnsi"/>
          <w:color w:val="auto"/>
          <w:sz w:val="28"/>
          <w:szCs w:val="28"/>
        </w:rPr>
        <w:t xml:space="preserve"> територі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 xml:space="preserve">я, </w:t>
      </w:r>
      <w:r>
        <w:rPr>
          <w:rFonts w:asciiTheme="majorHAnsi" w:hAnsiTheme="majorHAnsi" w:cstheme="minorHAnsi"/>
          <w:color w:val="auto"/>
          <w:sz w:val="28"/>
          <w:szCs w:val="28"/>
        </w:rPr>
        <w:t>яка розглядається передбачена для потреб тваринницького комплексу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 xml:space="preserve"> з</w:t>
      </w:r>
      <w:r>
        <w:rPr>
          <w:rFonts w:asciiTheme="majorHAnsi" w:hAnsiTheme="majorHAnsi" w:cstheme="minorHAnsi"/>
          <w:color w:val="auto"/>
          <w:sz w:val="28"/>
          <w:szCs w:val="28"/>
        </w:rPr>
        <w:t xml:space="preserve"> репродукці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>ї</w:t>
      </w:r>
      <w:r>
        <w:rPr>
          <w:rFonts w:asciiTheme="majorHAnsi" w:hAnsiTheme="majorHAnsi" w:cstheme="minorHAnsi"/>
          <w:color w:val="auto"/>
          <w:sz w:val="28"/>
          <w:szCs w:val="28"/>
        </w:rPr>
        <w:t xml:space="preserve"> та відгодівл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>і</w:t>
      </w:r>
      <w:r>
        <w:rPr>
          <w:rFonts w:asciiTheme="majorHAnsi" w:hAnsiTheme="majorHAnsi" w:cstheme="minorHAnsi"/>
          <w:color w:val="auto"/>
          <w:sz w:val="28"/>
          <w:szCs w:val="28"/>
        </w:rPr>
        <w:t xml:space="preserve"> свиней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 xml:space="preserve">. Відповідно, 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>п</w:t>
      </w:r>
      <w:r>
        <w:rPr>
          <w:rFonts w:asciiTheme="majorHAnsi" w:hAnsiTheme="majorHAnsi" w:cstheme="minorHAnsi"/>
          <w:color w:val="auto"/>
          <w:sz w:val="28"/>
          <w:szCs w:val="28"/>
        </w:rPr>
        <w:t>ередбачен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>о</w:t>
      </w:r>
      <w:r>
        <w:rPr>
          <w:rFonts w:asciiTheme="majorHAnsi" w:hAnsiTheme="majorHAnsi" w:cstheme="minorHAnsi"/>
          <w:color w:val="auto"/>
          <w:sz w:val="28"/>
          <w:szCs w:val="28"/>
        </w:rPr>
        <w:t xml:space="preserve"> змін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>у</w:t>
      </w:r>
      <w:r>
        <w:rPr>
          <w:rFonts w:asciiTheme="majorHAnsi" w:hAnsiTheme="majorHAnsi" w:cstheme="minorHAnsi"/>
          <w:color w:val="auto"/>
          <w:sz w:val="28"/>
          <w:szCs w:val="28"/>
        </w:rPr>
        <w:t xml:space="preserve"> категорії земель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 xml:space="preserve"> – н</w:t>
      </w:r>
      <w:r>
        <w:rPr>
          <w:rFonts w:asciiTheme="majorHAnsi" w:hAnsiTheme="majorHAnsi" w:cstheme="minorHAnsi"/>
          <w:color w:val="auto"/>
          <w:sz w:val="28"/>
          <w:szCs w:val="28"/>
        </w:rPr>
        <w:t>а землі сільськогосподарського призначення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>,</w:t>
      </w:r>
      <w:r>
        <w:rPr>
          <w:rFonts w:asciiTheme="majorHAnsi" w:hAnsiTheme="majorHAnsi" w:cstheme="minorHAnsi"/>
          <w:color w:val="auto"/>
          <w:sz w:val="28"/>
          <w:szCs w:val="28"/>
        </w:rPr>
        <w:t xml:space="preserve"> а цільов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>е</w:t>
      </w:r>
      <w:r>
        <w:rPr>
          <w:rFonts w:asciiTheme="majorHAnsi" w:hAnsiTheme="majorHAnsi" w:cstheme="minorHAnsi"/>
          <w:color w:val="auto"/>
          <w:sz w:val="28"/>
          <w:szCs w:val="28"/>
        </w:rPr>
        <w:t xml:space="preserve"> призначення ділянки проектування 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 xml:space="preserve">– </w:t>
      </w:r>
      <w:r>
        <w:rPr>
          <w:rFonts w:asciiTheme="majorHAnsi" w:hAnsiTheme="majorHAnsi" w:cstheme="minorHAnsi"/>
          <w:color w:val="auto"/>
          <w:sz w:val="28"/>
          <w:szCs w:val="28"/>
        </w:rPr>
        <w:t>на 01.01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 xml:space="preserve"> –</w:t>
      </w:r>
      <w:r>
        <w:rPr>
          <w:rFonts w:asciiTheme="majorHAnsi" w:hAnsiTheme="majorHAnsi" w:cstheme="minorHAnsi"/>
          <w:color w:val="auto"/>
          <w:sz w:val="28"/>
          <w:szCs w:val="28"/>
        </w:rPr>
        <w:t xml:space="preserve"> для ведення товарного сільськогосподарського виробництва.</w:t>
      </w:r>
      <w:r>
        <w:rPr>
          <w:rFonts w:asciiTheme="majorHAnsi" w:hAnsiTheme="majorHAnsi" w:cstheme="minorHAnsi"/>
          <w:color w:val="auto"/>
          <w:sz w:val="28"/>
          <w:szCs w:val="28"/>
          <w:lang w:val="uk-UA"/>
        </w:rPr>
        <w:t xml:space="preserve"> </w:t>
      </w:r>
    </w:p>
    <w:p w14:paraId="4CA12DA2" w14:textId="77777777" w:rsidR="004456CE" w:rsidRDefault="00D54C7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Виходячи із необхідності раціонального використання земельн</w:t>
      </w:r>
      <w:r>
        <w:rPr>
          <w:rFonts w:asciiTheme="majorHAnsi" w:hAnsiTheme="majorHAnsi" w:cs="Arial"/>
          <w:sz w:val="28"/>
          <w:szCs w:val="28"/>
        </w:rPr>
        <w:t xml:space="preserve">их ресурсів, даним детальним планом території передбачено: </w:t>
      </w:r>
    </w:p>
    <w:p w14:paraId="76D16C26" w14:textId="77777777" w:rsidR="004456CE" w:rsidRDefault="00D54C7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1. Впорядкування благоустрою, озеленення території з додатковим розміщенням місць паркування автотранспорту. </w:t>
      </w:r>
    </w:p>
    <w:p w14:paraId="1DCDB397" w14:textId="77777777" w:rsidR="004456CE" w:rsidRDefault="00D54C7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lastRenderedPageBreak/>
        <w:t xml:space="preserve">2. Впорядкування розміщення інших об’єктів: очисних споруд, </w:t>
      </w:r>
      <w:r>
        <w:rPr>
          <w:rFonts w:asciiTheme="majorHAnsi" w:hAnsiTheme="majorHAnsi" w:cs="Arial"/>
          <w:sz w:val="28"/>
          <w:szCs w:val="28"/>
        </w:rPr>
        <w:t>трансформаторної підстанції, резервуару заправки техніки підприємства (свердловини, резервуар запасу води, резервної дизельної підстанції).</w:t>
      </w:r>
    </w:p>
    <w:p w14:paraId="4BC4EA40" w14:textId="77777777" w:rsidR="004456CE" w:rsidRDefault="00D54C7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Розробленою архітектурно-просторовою концепцією комплексу покращується естетичне сприйняття виробничої зони зі стор</w:t>
      </w:r>
      <w:r>
        <w:rPr>
          <w:rFonts w:asciiTheme="majorHAnsi" w:hAnsiTheme="majorHAnsi" w:cs="Arial"/>
          <w:sz w:val="28"/>
          <w:szCs w:val="28"/>
        </w:rPr>
        <w:t xml:space="preserve">они </w:t>
      </w:r>
      <w:proofErr w:type="spellStart"/>
      <w:r>
        <w:rPr>
          <w:rFonts w:asciiTheme="majorHAnsi" w:hAnsiTheme="majorHAnsi" w:cs="Arial"/>
          <w:sz w:val="28"/>
          <w:szCs w:val="28"/>
        </w:rPr>
        <w:t>сельбищної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 xml:space="preserve">території. </w:t>
      </w:r>
    </w:p>
    <w:p w14:paraId="4A81CBA9" w14:textId="77777777" w:rsidR="004456CE" w:rsidRDefault="004456C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 w:cs="Arial"/>
          <w:sz w:val="28"/>
          <w:szCs w:val="28"/>
        </w:rPr>
      </w:pPr>
    </w:p>
    <w:p w14:paraId="012ED98E" w14:textId="77777777" w:rsidR="004456CE" w:rsidRDefault="00D54C78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Якою мірою документ державного планування визначає умови для реалізації видів діяльності або об’єктів, щодо яких законодавством передбачено здійснення процедури оцінки впливу на довкілля (у тому числі щодо визначення місцезнаход</w:t>
      </w:r>
      <w:r>
        <w:rPr>
          <w:rFonts w:asciiTheme="majorHAnsi" w:hAnsiTheme="majorHAnsi"/>
          <w:b/>
          <w:sz w:val="28"/>
          <w:szCs w:val="28"/>
        </w:rPr>
        <w:t>ження, розміру, потужності або розміщення ресурсів)</w:t>
      </w:r>
    </w:p>
    <w:p w14:paraId="12613D76" w14:textId="77777777" w:rsidR="004456CE" w:rsidRDefault="004456CE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Theme="majorHAnsi" w:hAnsiTheme="majorHAnsi"/>
          <w:b/>
          <w:sz w:val="28"/>
          <w:szCs w:val="28"/>
        </w:rPr>
      </w:pPr>
    </w:p>
    <w:p w14:paraId="5376E180" w14:textId="77777777" w:rsidR="004456CE" w:rsidRDefault="00D54C78">
      <w:pPr>
        <w:tabs>
          <w:tab w:val="left" w:pos="567"/>
          <w:tab w:val="left" w:pos="1134"/>
        </w:tabs>
        <w:spacing w:after="0"/>
        <w:ind w:right="-2" w:firstLine="567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  <w:lang w:eastAsia="uk-UA"/>
        </w:rPr>
        <w:t>Територія детального планування відведена для обслуговування об’єктів нерухомого майна  ФГ «Кулява», яке</w:t>
      </w:r>
      <w:r>
        <w:rPr>
          <w:rFonts w:asciiTheme="majorHAnsi" w:hAnsiTheme="majorHAnsi" w:cstheme="minorHAnsi"/>
          <w:b/>
          <w:sz w:val="28"/>
          <w:szCs w:val="28"/>
          <w:lang w:eastAsia="uk-UA"/>
        </w:rPr>
        <w:t xml:space="preserve"> </w:t>
      </w:r>
      <w:r>
        <w:rPr>
          <w:rFonts w:asciiTheme="majorHAnsi" w:hAnsiTheme="majorHAnsi" w:cstheme="minorHAnsi"/>
          <w:sz w:val="28"/>
          <w:szCs w:val="28"/>
        </w:rPr>
        <w:t xml:space="preserve">провадить свою діяльність за </w:t>
      </w:r>
      <w:proofErr w:type="spellStart"/>
      <w:r>
        <w:rPr>
          <w:rFonts w:asciiTheme="majorHAnsi" w:hAnsiTheme="majorHAnsi" w:cstheme="minorHAnsi"/>
          <w:sz w:val="28"/>
          <w:szCs w:val="28"/>
        </w:rPr>
        <w:t>адресою</w:t>
      </w:r>
      <w:proofErr w:type="spellEnd"/>
      <w:r>
        <w:rPr>
          <w:rFonts w:asciiTheme="majorHAnsi" w:hAnsiTheme="majorHAnsi" w:cstheme="minorHAnsi"/>
          <w:sz w:val="28"/>
          <w:szCs w:val="28"/>
        </w:rPr>
        <w:t>: Львівська область, Львівський район, Жовківська територіальн</w:t>
      </w:r>
      <w:r>
        <w:rPr>
          <w:rFonts w:asciiTheme="majorHAnsi" w:hAnsiTheme="majorHAnsi" w:cstheme="minorHAnsi"/>
          <w:sz w:val="28"/>
          <w:szCs w:val="28"/>
        </w:rPr>
        <w:t xml:space="preserve">а громада, с. Кулява, вул. В. </w:t>
      </w:r>
      <w:proofErr w:type="spellStart"/>
      <w:r>
        <w:rPr>
          <w:rFonts w:asciiTheme="majorHAnsi" w:hAnsiTheme="majorHAnsi" w:cstheme="minorHAnsi"/>
          <w:sz w:val="28"/>
          <w:szCs w:val="28"/>
        </w:rPr>
        <w:t>Чорновола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1Д. </w:t>
      </w:r>
    </w:p>
    <w:p w14:paraId="6C60E372" w14:textId="77777777" w:rsidR="004456CE" w:rsidRDefault="00D54C78">
      <w:pPr>
        <w:tabs>
          <w:tab w:val="left" w:pos="567"/>
          <w:tab w:val="left" w:pos="1134"/>
        </w:tabs>
        <w:spacing w:after="0"/>
        <w:ind w:right="-2" w:firstLine="567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Основною діяльністю є розведення (репродукція) та вирощування свиней з подальшою їх реалізацією живою вагою. </w:t>
      </w:r>
    </w:p>
    <w:p w14:paraId="5D0CA5F9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eastAsia="Gungsuh" w:hAnsiTheme="majorHAnsi" w:cstheme="minorHAnsi"/>
          <w:sz w:val="28"/>
          <w:szCs w:val="28"/>
        </w:rPr>
      </w:pPr>
      <w:r>
        <w:rPr>
          <w:rFonts w:asciiTheme="majorHAnsi" w:eastAsia="Times New Roman" w:hAnsiTheme="majorHAnsi" w:cstheme="minorHAnsi"/>
          <w:sz w:val="28"/>
          <w:szCs w:val="28"/>
        </w:rPr>
        <w:t>Провадження планованої діяльності ФГ «Кулява» підпадає під процедуру оцінки впливу на довкілля, відпо</w:t>
      </w:r>
      <w:r>
        <w:rPr>
          <w:rFonts w:asciiTheme="majorHAnsi" w:eastAsia="Times New Roman" w:hAnsiTheme="majorHAnsi" w:cstheme="minorHAnsi"/>
          <w:sz w:val="28"/>
          <w:szCs w:val="28"/>
        </w:rPr>
        <w:t xml:space="preserve">відно до </w:t>
      </w:r>
      <w:r>
        <w:rPr>
          <w:rFonts w:asciiTheme="majorHAnsi" w:eastAsia="Gungsuh" w:hAnsiTheme="majorHAnsi" w:cstheme="minorHAnsi"/>
          <w:sz w:val="28"/>
          <w:szCs w:val="28"/>
        </w:rPr>
        <w:t>п. 2 ч. 3 ст. 3 Закону України «Про оцінку впливу на довкілля» (друга категорія видів планованої діяльності та об’єктів, які можуть мати значний вплив на довкілля і підлягають оцінці впливу на довкілля) – потужності для вирощування: птиці (40 тися</w:t>
      </w:r>
      <w:r>
        <w:rPr>
          <w:rFonts w:asciiTheme="majorHAnsi" w:eastAsia="Gungsuh" w:hAnsiTheme="majorHAnsi" w:cstheme="minorHAnsi"/>
          <w:sz w:val="28"/>
          <w:szCs w:val="28"/>
        </w:rPr>
        <w:t xml:space="preserve">ч місць і більше); свиней (1 тисяча місць і більше, для свиноматок - 500 місць і більше); великої та дрібної рогатої худоби (1 тисяча місць і більше); </w:t>
      </w:r>
      <w:proofErr w:type="spellStart"/>
      <w:r>
        <w:rPr>
          <w:rFonts w:asciiTheme="majorHAnsi" w:eastAsia="Gungsuh" w:hAnsiTheme="majorHAnsi" w:cstheme="minorHAnsi"/>
          <w:sz w:val="28"/>
          <w:szCs w:val="28"/>
        </w:rPr>
        <w:t>кролів</w:t>
      </w:r>
      <w:proofErr w:type="spellEnd"/>
      <w:r>
        <w:rPr>
          <w:rFonts w:asciiTheme="majorHAnsi" w:eastAsia="Gungsuh" w:hAnsiTheme="majorHAnsi" w:cstheme="minorHAnsi"/>
          <w:sz w:val="28"/>
          <w:szCs w:val="28"/>
        </w:rPr>
        <w:t xml:space="preserve"> та інших хутрових тварин (2 тисячі голів і більше).</w:t>
      </w:r>
    </w:p>
    <w:p w14:paraId="20A96635" w14:textId="77777777" w:rsidR="004456CE" w:rsidRDefault="004456CE">
      <w:pPr>
        <w:pStyle w:val="a4"/>
        <w:tabs>
          <w:tab w:val="left" w:pos="567"/>
          <w:tab w:val="left" w:pos="1134"/>
        </w:tabs>
        <w:spacing w:after="0"/>
        <w:ind w:left="0" w:right="-2" w:firstLine="567"/>
        <w:rPr>
          <w:rFonts w:asciiTheme="majorHAnsi" w:hAnsiTheme="majorHAnsi" w:cstheme="minorHAnsi"/>
          <w:b/>
          <w:sz w:val="28"/>
          <w:szCs w:val="28"/>
          <w:lang w:eastAsia="uk-UA"/>
        </w:rPr>
      </w:pPr>
    </w:p>
    <w:p w14:paraId="09CCCB0D" w14:textId="77777777" w:rsidR="004456CE" w:rsidRDefault="00D54C78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Інформація про ймовірні наслідки: а) для </w:t>
      </w:r>
      <w:r>
        <w:rPr>
          <w:rFonts w:asciiTheme="majorHAnsi" w:hAnsiTheme="majorHAnsi"/>
          <w:b/>
          <w:sz w:val="28"/>
          <w:szCs w:val="28"/>
        </w:rPr>
        <w:t>довкілля, у тому числі для здоров’я населення; б) для територій з природоохоронним статусом; в) транскордонні наслідки для довкілля, у тому числі для здоров’я населення</w:t>
      </w:r>
    </w:p>
    <w:p w14:paraId="1E246F1B" w14:textId="77777777" w:rsidR="004456CE" w:rsidRDefault="004456CE">
      <w:pPr>
        <w:pStyle w:val="a4"/>
        <w:tabs>
          <w:tab w:val="left" w:pos="567"/>
          <w:tab w:val="left" w:pos="1134"/>
        </w:tabs>
        <w:spacing w:after="0"/>
        <w:ind w:left="567"/>
        <w:jc w:val="both"/>
        <w:rPr>
          <w:rFonts w:asciiTheme="majorHAnsi" w:hAnsiTheme="majorHAnsi"/>
          <w:b/>
          <w:sz w:val="28"/>
          <w:szCs w:val="28"/>
        </w:rPr>
      </w:pPr>
    </w:p>
    <w:p w14:paraId="295CF20B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Ймовірні наслідки виконання ДДП:</w:t>
      </w:r>
    </w:p>
    <w:p w14:paraId="66283C89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а) для довкілля, у тому числі для здоров’я </w:t>
      </w:r>
      <w:r>
        <w:rPr>
          <w:rFonts w:asciiTheme="majorHAnsi" w:hAnsiTheme="majorHAnsi"/>
          <w:sz w:val="28"/>
          <w:szCs w:val="28"/>
        </w:rPr>
        <w:t>населення будуть оцінені та викладені у звіті про СЕО.</w:t>
      </w:r>
    </w:p>
    <w:p w14:paraId="365F7EFA" w14:textId="77777777" w:rsidR="004456CE" w:rsidRDefault="00D54C78">
      <w:pPr>
        <w:spacing w:after="0"/>
        <w:ind w:firstLine="567"/>
        <w:jc w:val="both"/>
        <w:rPr>
          <w:rFonts w:asciiTheme="majorHAnsi" w:eastAsia="Times New Roman" w:hAnsiTheme="majorHAnsi" w:cstheme="minorHAnsi"/>
          <w:sz w:val="28"/>
          <w:szCs w:val="28"/>
          <w:lang w:eastAsia="uk-UA"/>
        </w:rPr>
      </w:pPr>
      <w:r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uk-UA"/>
        </w:rPr>
        <w:t>б) для територій з природоохоронним статусом:</w:t>
      </w:r>
    </w:p>
    <w:p w14:paraId="072777DD" w14:textId="77777777" w:rsidR="004456CE" w:rsidRDefault="00D54C78">
      <w:pPr>
        <w:spacing w:after="0"/>
        <w:ind w:firstLine="567"/>
        <w:jc w:val="both"/>
        <w:rPr>
          <w:rFonts w:asciiTheme="majorHAnsi" w:eastAsia="Times New Roman" w:hAnsiTheme="majorHAnsi" w:cstheme="minorHAnsi"/>
          <w:sz w:val="28"/>
          <w:szCs w:val="28"/>
          <w:lang w:eastAsia="uk-UA"/>
        </w:rPr>
      </w:pPr>
      <w:r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uk-UA"/>
        </w:rPr>
        <w:lastRenderedPageBreak/>
        <w:t xml:space="preserve">на території детального планування об’єкти з природоохоронним статусом відсутні, зокрема дана територія не потрапляє в Смарагдову мережу України, вплив на </w:t>
      </w:r>
      <w:r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uk-UA"/>
        </w:rPr>
        <w:t>них не передбачається;</w:t>
      </w:r>
    </w:p>
    <w:p w14:paraId="40FDCC67" w14:textId="77777777" w:rsidR="004456CE" w:rsidRDefault="00D54C78">
      <w:pPr>
        <w:spacing w:after="0"/>
        <w:ind w:firstLine="567"/>
        <w:jc w:val="both"/>
        <w:rPr>
          <w:rFonts w:asciiTheme="majorHAnsi" w:eastAsia="Times New Roman" w:hAnsiTheme="majorHAnsi" w:cstheme="minorHAnsi"/>
          <w:sz w:val="28"/>
          <w:szCs w:val="28"/>
          <w:lang w:eastAsia="uk-UA"/>
        </w:rPr>
      </w:pPr>
      <w:r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uk-UA"/>
        </w:rPr>
        <w:t>в) транскордонні наслідки для довкілля, у тому числі для здоров’я населення:</w:t>
      </w:r>
    </w:p>
    <w:p w14:paraId="3A45FC8B" w14:textId="77777777" w:rsidR="004456CE" w:rsidRDefault="00D54C78">
      <w:pPr>
        <w:spacing w:after="0"/>
        <w:ind w:firstLine="567"/>
        <w:jc w:val="both"/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uk-UA"/>
        </w:rPr>
      </w:pPr>
      <w:r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uk-UA"/>
        </w:rPr>
        <w:t>транскордонні наслідки для довкілля, у тому числі для здоров’я населення – відсутні.</w:t>
      </w:r>
    </w:p>
    <w:p w14:paraId="4CA15DB8" w14:textId="77777777" w:rsidR="004456CE" w:rsidRDefault="004456CE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</w:p>
    <w:p w14:paraId="25D77232" w14:textId="77777777" w:rsidR="004456CE" w:rsidRDefault="00D54C78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Виправдані альтернативи, які необхідно розглянути, у тому числі якщо д</w:t>
      </w:r>
      <w:r>
        <w:rPr>
          <w:rFonts w:asciiTheme="majorHAnsi" w:hAnsiTheme="majorHAnsi"/>
          <w:b/>
          <w:sz w:val="28"/>
          <w:szCs w:val="28"/>
        </w:rPr>
        <w:t>окумент державного планування не буде затверджено</w:t>
      </w:r>
    </w:p>
    <w:p w14:paraId="45B01855" w14:textId="77777777" w:rsidR="004456CE" w:rsidRDefault="004456CE">
      <w:pPr>
        <w:pStyle w:val="a4"/>
        <w:tabs>
          <w:tab w:val="left" w:pos="567"/>
          <w:tab w:val="left" w:pos="1134"/>
        </w:tabs>
        <w:spacing w:after="0"/>
        <w:ind w:left="567"/>
        <w:rPr>
          <w:rFonts w:asciiTheme="majorHAnsi" w:hAnsiTheme="majorHAnsi"/>
          <w:b/>
          <w:sz w:val="28"/>
          <w:szCs w:val="28"/>
        </w:rPr>
      </w:pPr>
    </w:p>
    <w:p w14:paraId="5550AF4B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i/>
          <w:sz w:val="28"/>
          <w:szCs w:val="28"/>
        </w:rPr>
        <w:t>Технічна альтернатива 1:</w:t>
      </w:r>
      <w:r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>Прийнятий на об’єкті цикл здійснюється за сучасною технологією безвигульного утримання тварин без використання підстилки. Організацію виробничого процесу здійснюють за цеховим прин</w:t>
      </w:r>
      <w:r>
        <w:rPr>
          <w:rFonts w:asciiTheme="majorHAnsi" w:eastAsia="Times New Roman" w:hAnsiTheme="majorHAnsi" w:cs="Times New Roman"/>
          <w:sz w:val="28"/>
          <w:szCs w:val="28"/>
        </w:rPr>
        <w:t>ципом з вузькою спеціалізацією. Широко застосована комплексна механізація і автоматизація технологічного процесу. Після закінчення відгодівельного циклу господарство реалізує відгодовані свині покупцям, які їх вивозять на власних транспортних засобах. Сист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ема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гноєвидалення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 розроблена відповідно з вимогами ВНТП-АПК-09.06 «Системи видалення, обробки, підготовки і використання гною», затверджених Наказом Мінагрополітики від 01.02.2006 р. № 29. Гній з корпусів утримання тварин збирається у закритий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гідроізольов</w:t>
      </w:r>
      <w:r>
        <w:rPr>
          <w:rFonts w:asciiTheme="majorHAnsi" w:eastAsia="Times New Roman" w:hAnsiTheme="majorHAnsi" w:cs="Times New Roman"/>
          <w:sz w:val="28"/>
          <w:szCs w:val="28"/>
        </w:rPr>
        <w:t>аний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гноєнакопичувач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 підземного типу об’ємом 11 000 м</w:t>
      </w:r>
      <w:r>
        <w:rPr>
          <w:rFonts w:asciiTheme="majorHAnsi" w:eastAsia="Times New Roman" w:hAnsiTheme="majorHAnsi" w:cs="Times New Roman"/>
          <w:sz w:val="28"/>
          <w:szCs w:val="28"/>
          <w:vertAlign w:val="superscript"/>
        </w:rPr>
        <w:t>3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із накриттям залізобетонними плитами. Після тривалого зберігання гній за допомогою машини-асенізатора перевозиться на власні поля підприємства для внесення під заорювання у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позавегетаційний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 період. </w:t>
      </w:r>
      <w:r>
        <w:rPr>
          <w:rFonts w:asciiTheme="majorHAnsi" w:eastAsia="Times New Roman" w:hAnsiTheme="majorHAnsi" w:cstheme="minorHAnsi"/>
          <w:bCs/>
          <w:i/>
          <w:sz w:val="28"/>
          <w:szCs w:val="28"/>
        </w:rPr>
        <w:t>Нас</w:t>
      </w:r>
      <w:r>
        <w:rPr>
          <w:rFonts w:asciiTheme="majorHAnsi" w:eastAsia="Times New Roman" w:hAnsiTheme="majorHAnsi" w:cstheme="minorHAnsi"/>
          <w:bCs/>
          <w:i/>
          <w:sz w:val="28"/>
          <w:szCs w:val="28"/>
        </w:rPr>
        <w:t>лідки від реалізації</w:t>
      </w:r>
      <w:r>
        <w:rPr>
          <w:rFonts w:asciiTheme="majorHAnsi" w:eastAsia="Times New Roman" w:hAnsiTheme="majorHAnsi" w:cstheme="minorHAnsi"/>
          <w:i/>
          <w:sz w:val="28"/>
          <w:szCs w:val="28"/>
        </w:rPr>
        <w:t>:</w:t>
      </w:r>
      <w:r>
        <w:rPr>
          <w:rFonts w:asciiTheme="majorHAnsi" w:eastAsia="Times New Roman" w:hAnsiTheme="majorHAnsi" w:cstheme="minorHAnsi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реалізація даного проекту продовжить розвиток підприємства, що сприяє вирішенню загальнодержавних програм розвитку об’єктів сільськогосподарського призначення, створенню нових робочих місць, розвитку інфраструктури району, </w:t>
      </w:r>
      <w:r>
        <w:rPr>
          <w:rFonts w:asciiTheme="majorHAnsi" w:eastAsia="Times New Roman" w:hAnsiTheme="majorHAnsi" w:cs="Times New Roman"/>
          <w:sz w:val="28"/>
          <w:szCs w:val="28"/>
        </w:rPr>
        <w:t>забезпечується зайнятість місцевого населення, покращуються умови, в т. ч. і матеріальні, життєдіяльності мешканців і працюючих.</w:t>
      </w:r>
    </w:p>
    <w:p w14:paraId="0E881F23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i/>
          <w:sz w:val="28"/>
          <w:szCs w:val="28"/>
        </w:rPr>
        <w:t>Технічна альтернатива 2:</w:t>
      </w:r>
      <w:r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>Використання традиційної технології утримання та годівлі при дорощуванні поросят із системою видалення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гною на транспортні засоби, вивіз та зберігання (кагатування) його безпосередньо в польових умовах.  </w:t>
      </w:r>
      <w:r>
        <w:rPr>
          <w:rFonts w:asciiTheme="majorHAnsi" w:eastAsia="Times New Roman" w:hAnsiTheme="majorHAnsi" w:cstheme="minorHAnsi"/>
          <w:bCs/>
          <w:i/>
          <w:sz w:val="28"/>
          <w:szCs w:val="28"/>
        </w:rPr>
        <w:t>Наслідки від реалізації</w:t>
      </w:r>
      <w:r>
        <w:rPr>
          <w:rFonts w:asciiTheme="majorHAnsi" w:eastAsia="Times New Roman" w:hAnsiTheme="majorHAnsi" w:cstheme="minorHAnsi"/>
          <w:i/>
          <w:sz w:val="28"/>
          <w:szCs w:val="28"/>
        </w:rPr>
        <w:t xml:space="preserve">: </w:t>
      </w:r>
      <w:r>
        <w:rPr>
          <w:rFonts w:asciiTheme="majorHAnsi" w:eastAsia="Times New Roman" w:hAnsiTheme="majorHAnsi" w:cs="Times New Roman"/>
          <w:sz w:val="28"/>
          <w:szCs w:val="28"/>
        </w:rPr>
        <w:t>очікується збільшення впливу на довкілля, за рахунок зберігання гною безпосередньо в польових умовах, наслідком чого є збільшення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викидів в атмосферне повітря, отже приймається її недоцільність.</w:t>
      </w:r>
    </w:p>
    <w:p w14:paraId="498C500E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</w:t>
      </w:r>
      <w:r>
        <w:rPr>
          <w:rFonts w:asciiTheme="majorHAnsi" w:eastAsia="Times New Roman" w:hAnsiTheme="majorHAnsi" w:cs="Times New Roman"/>
          <w:i/>
          <w:sz w:val="28"/>
          <w:szCs w:val="28"/>
        </w:rPr>
        <w:t xml:space="preserve">ериторіальна альтернатива 1: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ФГ «КУЛЯВА» знаходиться за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адресою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: 80332, Львівська обл., Львівський р-н., Жовківська територіальна </w:t>
      </w:r>
      <w:r>
        <w:rPr>
          <w:rFonts w:asciiTheme="majorHAnsi" w:eastAsia="Times New Roman" w:hAnsiTheme="majorHAnsi" w:cs="Times New Roman"/>
          <w:sz w:val="28"/>
          <w:szCs w:val="28"/>
        </w:rPr>
        <w:lastRenderedPageBreak/>
        <w:t xml:space="preserve">громада, с. Кулява, вул. В.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Чорновола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>, 1Д. , Земельна ділян</w:t>
      </w:r>
      <w:r>
        <w:rPr>
          <w:rFonts w:asciiTheme="majorHAnsi" w:eastAsia="Times New Roman" w:hAnsiTheme="majorHAnsi" w:cs="Times New Roman"/>
          <w:sz w:val="28"/>
          <w:szCs w:val="28"/>
        </w:rPr>
        <w:t>ка має загальну площу 6,5 га, кадастровий номер - 4622784500:05:000:0134; цільове призначення: 11.02 для розміщення та експлуатації основних, підсобних і допоміжних будівель та споруд підприємств переробної, машинобудівної та іншої промисловості.  Оскільки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, на території земельної ділянки знаходяться будівлі свинарників, кормозаготівельна дільниця,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адмінприміщення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>, свердловина та ін. будівлі, які існуючі та задіяні у виробничому процесі, інші територіальні альтернативи не розглядаються.</w:t>
      </w:r>
    </w:p>
    <w:p w14:paraId="28044AA2" w14:textId="77777777" w:rsidR="004456CE" w:rsidRDefault="004456CE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14:paraId="41A3A020" w14:textId="77777777" w:rsidR="004456CE" w:rsidRDefault="00D54C78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Дослідження, які нео</w:t>
      </w:r>
      <w:r>
        <w:rPr>
          <w:rFonts w:asciiTheme="majorHAnsi" w:hAnsiTheme="majorHAnsi"/>
          <w:b/>
          <w:sz w:val="28"/>
          <w:szCs w:val="28"/>
        </w:rPr>
        <w:t>бхідно провести, методи і критерії, що використовуватимуться під час стратегічної екологічної оцінки</w:t>
      </w:r>
    </w:p>
    <w:p w14:paraId="7078F2FA" w14:textId="77777777" w:rsidR="004456CE" w:rsidRDefault="004456CE">
      <w:pPr>
        <w:pStyle w:val="a4"/>
        <w:tabs>
          <w:tab w:val="left" w:pos="567"/>
          <w:tab w:val="left" w:pos="1134"/>
        </w:tabs>
        <w:spacing w:after="0"/>
        <w:ind w:left="567"/>
        <w:jc w:val="both"/>
        <w:rPr>
          <w:rFonts w:asciiTheme="majorHAnsi" w:hAnsiTheme="majorHAnsi"/>
          <w:b/>
          <w:sz w:val="28"/>
          <w:szCs w:val="28"/>
        </w:rPr>
      </w:pPr>
    </w:p>
    <w:p w14:paraId="6F89C638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eastAsia="Times New Roman" w:hAnsiTheme="majorHAnsi" w:cstheme="minorHAnsi"/>
          <w:sz w:val="28"/>
          <w:szCs w:val="28"/>
          <w:lang w:eastAsia="uk-UA"/>
        </w:rPr>
      </w:pPr>
      <w:r>
        <w:rPr>
          <w:rFonts w:asciiTheme="majorHAnsi" w:hAnsiTheme="majorHAnsi"/>
          <w:sz w:val="28"/>
          <w:szCs w:val="28"/>
        </w:rPr>
        <w:t xml:space="preserve">Під час стратегічної екологічної оцінки необхідно визначити </w:t>
      </w:r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>відповідність ДДП діючим нормативно-правовим документам.</w:t>
      </w:r>
    </w:p>
    <w:p w14:paraId="1ED5A824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eastAsia="Times New Roman" w:hAnsiTheme="majorHAnsi" w:cstheme="minorHAnsi"/>
          <w:sz w:val="28"/>
          <w:szCs w:val="28"/>
          <w:lang w:eastAsia="uk-UA"/>
        </w:rPr>
      </w:pPr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 xml:space="preserve">Проведення стратегічної </w:t>
      </w:r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>екологічної оцінки передбачає використання таких аналітичних методів як:</w:t>
      </w:r>
    </w:p>
    <w:p w14:paraId="20A2ABEE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eastAsia="Times New Roman" w:hAnsiTheme="majorHAnsi" w:cstheme="minorHAnsi"/>
          <w:sz w:val="28"/>
          <w:szCs w:val="28"/>
          <w:lang w:eastAsia="uk-UA"/>
        </w:rPr>
      </w:pPr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>– цільовий аналіз, що включає формування блоку цілей охорони довкілля, в тому числі здоров’я населення;</w:t>
      </w:r>
    </w:p>
    <w:p w14:paraId="152F5EC5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eastAsia="Times New Roman" w:hAnsiTheme="majorHAnsi" w:cstheme="minorHAnsi"/>
          <w:sz w:val="28"/>
          <w:szCs w:val="28"/>
          <w:lang w:eastAsia="uk-UA"/>
        </w:rPr>
      </w:pPr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 xml:space="preserve">– аналіз </w:t>
      </w:r>
      <w:proofErr w:type="spellStart"/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>тенденціи</w:t>
      </w:r>
      <w:proofErr w:type="spellEnd"/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 xml:space="preserve">̆, як один з </w:t>
      </w:r>
      <w:proofErr w:type="spellStart"/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>найбільш</w:t>
      </w:r>
      <w:proofErr w:type="spellEnd"/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 xml:space="preserve"> важливих аспектів стратегічної ̈оцінки</w:t>
      </w:r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 xml:space="preserve">, що  дає можливість інтерпретації змін екологічного навантаження, а також змін стану довкілля, у тому числі здоров’я населення, з плином часу. Аналіз </w:t>
      </w:r>
      <w:proofErr w:type="spellStart"/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>тенденціи</w:t>
      </w:r>
      <w:proofErr w:type="spellEnd"/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 xml:space="preserve">̆ сприяє виявленню та представленню </w:t>
      </w:r>
      <w:proofErr w:type="spellStart"/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>найважливіших</w:t>
      </w:r>
      <w:proofErr w:type="spellEnd"/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>зв’язків</w:t>
      </w:r>
      <w:proofErr w:type="spellEnd"/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 xml:space="preserve"> між впливами на довкілля та відповід</w:t>
      </w:r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 xml:space="preserve">ними змінами стану довкілля, які можуть проявлятися з певною затримкою. Крім того, аналіз </w:t>
      </w:r>
      <w:proofErr w:type="spellStart"/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>тенденціи</w:t>
      </w:r>
      <w:proofErr w:type="spellEnd"/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 xml:space="preserve">̆ може використовуватися для прогнозу </w:t>
      </w:r>
      <w:proofErr w:type="spellStart"/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>майбутніх</w:t>
      </w:r>
      <w:proofErr w:type="spellEnd"/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 xml:space="preserve"> впливів на довкілля.</w:t>
      </w:r>
    </w:p>
    <w:p w14:paraId="40342E7A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eastAsia="Times New Roman" w:hAnsiTheme="majorHAnsi" w:cstheme="minorHAnsi"/>
          <w:sz w:val="28"/>
          <w:szCs w:val="28"/>
          <w:lang w:eastAsia="uk-UA"/>
        </w:rPr>
      </w:pPr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>Під час стратегічної екологічної оцінки документу державного планування необхідно дослі</w:t>
      </w:r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>дити:</w:t>
      </w:r>
    </w:p>
    <w:p w14:paraId="12A54D33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eastAsia="Times New Roman" w:hAnsiTheme="majorHAnsi" w:cstheme="minorHAnsi"/>
          <w:sz w:val="28"/>
          <w:szCs w:val="28"/>
          <w:lang w:eastAsia="uk-UA"/>
        </w:rPr>
      </w:pPr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>– стан компонентів довкілля;</w:t>
      </w:r>
    </w:p>
    <w:p w14:paraId="64666CA5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eastAsia="Times New Roman" w:hAnsiTheme="majorHAnsi" w:cstheme="minorHAnsi"/>
          <w:sz w:val="28"/>
          <w:szCs w:val="28"/>
          <w:lang w:eastAsia="uk-UA"/>
        </w:rPr>
      </w:pPr>
      <w:r>
        <w:rPr>
          <w:rFonts w:asciiTheme="majorHAnsi" w:eastAsia="Times New Roman" w:hAnsiTheme="majorHAnsi" w:cstheme="minorHAnsi"/>
          <w:sz w:val="28"/>
          <w:szCs w:val="28"/>
          <w:lang w:eastAsia="uk-UA"/>
        </w:rPr>
        <w:t>– можливу реакцію навколишнього природного середовища на прямий чи опосередкований вплив, внаслідок реалізації рішень детального плану території.</w:t>
      </w:r>
    </w:p>
    <w:p w14:paraId="0A5654A7" w14:textId="77777777" w:rsidR="004456CE" w:rsidRDefault="004456CE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eastAsia="Times New Roman" w:hAnsiTheme="majorHAnsi" w:cstheme="minorHAnsi"/>
          <w:sz w:val="28"/>
          <w:szCs w:val="28"/>
          <w:lang w:eastAsia="uk-UA"/>
        </w:rPr>
      </w:pPr>
    </w:p>
    <w:p w14:paraId="09E03061" w14:textId="77777777" w:rsidR="004456CE" w:rsidRDefault="00D54C78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Заходи, які передбачається розглянути для запобігання, зменшення та пом’якшення негативних наслідків виконання документа державного планування </w:t>
      </w:r>
    </w:p>
    <w:p w14:paraId="1D8AFF45" w14:textId="77777777" w:rsidR="004456CE" w:rsidRDefault="004456CE">
      <w:pPr>
        <w:pStyle w:val="a4"/>
        <w:tabs>
          <w:tab w:val="left" w:pos="567"/>
          <w:tab w:val="left" w:pos="1134"/>
        </w:tabs>
        <w:spacing w:after="0"/>
        <w:ind w:left="567"/>
        <w:jc w:val="both"/>
        <w:rPr>
          <w:rFonts w:asciiTheme="majorHAnsi" w:hAnsiTheme="majorHAnsi"/>
          <w:b/>
          <w:sz w:val="28"/>
          <w:szCs w:val="28"/>
        </w:rPr>
      </w:pPr>
    </w:p>
    <w:p w14:paraId="1E318AFA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Під час здійснення СЕО передбачається розглянути заходи із запобігання, зменшення та пом’якшення негативних нас</w:t>
      </w:r>
      <w:r>
        <w:rPr>
          <w:rFonts w:asciiTheme="majorHAnsi" w:hAnsiTheme="majorHAnsi"/>
          <w:sz w:val="28"/>
          <w:szCs w:val="28"/>
        </w:rPr>
        <w:t xml:space="preserve">лідків, визначені законодавством та нормативно-правовими актами, зокрема в таких сферах </w:t>
      </w:r>
      <w:r>
        <w:rPr>
          <w:rFonts w:asciiTheme="majorHAnsi" w:hAnsiTheme="majorHAnsi"/>
          <w:sz w:val="28"/>
          <w:szCs w:val="28"/>
        </w:rPr>
        <w:lastRenderedPageBreak/>
        <w:t xml:space="preserve">охорони довкілля: атмосферне повітря та акустичне навантаження, водні ресурси, земельні ресурси та </w:t>
      </w:r>
      <w:proofErr w:type="spellStart"/>
      <w:r>
        <w:rPr>
          <w:rFonts w:asciiTheme="majorHAnsi" w:hAnsiTheme="majorHAnsi"/>
          <w:sz w:val="28"/>
          <w:szCs w:val="28"/>
        </w:rPr>
        <w:t>грунти</w:t>
      </w:r>
      <w:proofErr w:type="spellEnd"/>
      <w:r>
        <w:rPr>
          <w:rFonts w:asciiTheme="majorHAnsi" w:hAnsiTheme="majorHAnsi"/>
          <w:sz w:val="28"/>
          <w:szCs w:val="28"/>
        </w:rPr>
        <w:t xml:space="preserve">, ландшафт та біорізноманіття, поводження з відходами, а також </w:t>
      </w:r>
      <w:r>
        <w:rPr>
          <w:rFonts w:asciiTheme="majorHAnsi" w:hAnsiTheme="majorHAnsi"/>
          <w:sz w:val="28"/>
          <w:szCs w:val="28"/>
        </w:rPr>
        <w:t xml:space="preserve">еколого-просвітницькі заходи. </w:t>
      </w:r>
    </w:p>
    <w:p w14:paraId="7A7EB2E2" w14:textId="77777777" w:rsidR="004456CE" w:rsidRDefault="004456CE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</w:p>
    <w:p w14:paraId="12C2691E" w14:textId="77777777" w:rsidR="004456CE" w:rsidRDefault="00D54C78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Пропозиції щодо структури та змісту звіту про стратегічну екологічну оцінку</w:t>
      </w:r>
    </w:p>
    <w:p w14:paraId="06F2919B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Стратегічна екологічна оцінка буде виконана в обсягах, визначених статтею 11 Закону України «Про стратегічну екологічну оцінку».</w:t>
      </w:r>
    </w:p>
    <w:p w14:paraId="6E84D185" w14:textId="77777777" w:rsidR="004456CE" w:rsidRDefault="004456CE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</w:p>
    <w:p w14:paraId="18C7AE00" w14:textId="77777777" w:rsidR="004456CE" w:rsidRDefault="00D54C78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Орган, до якого п</w:t>
      </w:r>
      <w:r>
        <w:rPr>
          <w:rFonts w:asciiTheme="majorHAnsi" w:hAnsiTheme="majorHAnsi"/>
          <w:b/>
          <w:sz w:val="28"/>
          <w:szCs w:val="28"/>
        </w:rPr>
        <w:t>одаються зауваження та пропозиції та строки їх подання</w:t>
      </w:r>
    </w:p>
    <w:p w14:paraId="445CE578" w14:textId="515AADA9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textAlignment w:val="baseline"/>
        <w:rPr>
          <w:rFonts w:asciiTheme="majorHAnsi" w:hAnsiTheme="majorHAnsi" w:cstheme="minorHAnsi"/>
          <w:b/>
          <w:color w:val="FF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Зауваження і пропозиції до Заяви про визначення обсягу стратегічної екологічної оцінки </w:t>
      </w:r>
      <w:r>
        <w:rPr>
          <w:rFonts w:asciiTheme="majorHAnsi" w:hAnsiTheme="majorHAnsi" w:cstheme="minorHAnsi"/>
          <w:sz w:val="28"/>
          <w:szCs w:val="28"/>
          <w:lang w:eastAsia="uk-UA"/>
        </w:rPr>
        <w:t>Детального плану території для обслуговування об’єктів нерухомого майна ФГ «Кулява» в с. Кулява  Львівського райо</w:t>
      </w:r>
      <w:r>
        <w:rPr>
          <w:rFonts w:asciiTheme="majorHAnsi" w:hAnsiTheme="majorHAnsi" w:cstheme="minorHAnsi"/>
          <w:sz w:val="28"/>
          <w:szCs w:val="28"/>
          <w:lang w:eastAsia="uk-UA"/>
        </w:rPr>
        <w:t xml:space="preserve">ну Львівської області </w:t>
      </w:r>
      <w:r>
        <w:rPr>
          <w:rFonts w:asciiTheme="majorHAnsi" w:eastAsia="Times New Roman" w:hAnsiTheme="majorHAnsi" w:cstheme="minorHAnsi"/>
          <w:bCs/>
          <w:iCs/>
          <w:sz w:val="28"/>
          <w:szCs w:val="28"/>
          <w:lang w:eastAsia="uk-UA"/>
        </w:rPr>
        <w:t>подаються до</w:t>
      </w:r>
      <w:r>
        <w:rPr>
          <w:rFonts w:asciiTheme="majorHAnsi" w:eastAsia="Times New Roman" w:hAnsiTheme="majorHAnsi" w:cstheme="minorHAnsi"/>
          <w:b/>
          <w:bCs/>
          <w:i/>
          <w:iCs/>
          <w:sz w:val="28"/>
          <w:szCs w:val="28"/>
          <w:lang w:eastAsia="uk-UA"/>
        </w:rPr>
        <w:t xml:space="preserve"> </w:t>
      </w:r>
      <w:r>
        <w:rPr>
          <w:rFonts w:asciiTheme="majorHAnsi" w:hAnsiTheme="majorHAnsi" w:cstheme="minorHAnsi"/>
          <w:sz w:val="28"/>
          <w:szCs w:val="28"/>
        </w:rPr>
        <w:t>Управління просторового розвитку та земельних ресурсів Жовківської міської ради Львівського району Львівської області (</w:t>
      </w:r>
      <w:r>
        <w:rPr>
          <w:rFonts w:asciiTheme="majorHAnsi" w:hAnsiTheme="majorHAnsi" w:cs="Segoe UI"/>
          <w:sz w:val="28"/>
          <w:szCs w:val="28"/>
          <w:shd w:val="clear" w:color="auto" w:fill="FFFFFF"/>
        </w:rPr>
        <w:t xml:space="preserve">80300, Україна, Львівський р-н, Львівська обл., місто Жовква, </w:t>
      </w:r>
      <w:r>
        <w:rPr>
          <w:rFonts w:asciiTheme="majorHAnsi" w:hAnsiTheme="majorHAnsi" w:cs="Segoe UI"/>
          <w:bCs/>
          <w:sz w:val="28"/>
          <w:szCs w:val="28"/>
          <w:shd w:val="clear" w:color="auto" w:fill="FFFFFF"/>
        </w:rPr>
        <w:t>вулиця Львівська</w:t>
      </w:r>
      <w:r>
        <w:rPr>
          <w:rFonts w:asciiTheme="majorHAnsi" w:hAnsiTheme="majorHAnsi" w:cs="Segoe UI"/>
          <w:sz w:val="28"/>
          <w:szCs w:val="28"/>
          <w:shd w:val="clear" w:color="auto" w:fill="FFFFFF"/>
        </w:rPr>
        <w:t xml:space="preserve">, 40; </w:t>
      </w:r>
      <w:proofErr w:type="spellStart"/>
      <w:r>
        <w:rPr>
          <w:rFonts w:asciiTheme="majorHAnsi" w:eastAsia="Times New Roman" w:hAnsiTheme="majorHAnsi" w:cs="Arial"/>
          <w:bCs/>
          <w:sz w:val="28"/>
          <w:szCs w:val="28"/>
          <w:lang w:eastAsia="uk-UA"/>
        </w:rPr>
        <w:t>ел.пошта</w:t>
      </w:r>
      <w:proofErr w:type="spellEnd"/>
      <w:r>
        <w:rPr>
          <w:rFonts w:asciiTheme="majorHAnsi" w:eastAsia="Times New Roman" w:hAnsiTheme="majorHAnsi" w:cs="Arial"/>
          <w:bCs/>
          <w:sz w:val="28"/>
          <w:szCs w:val="28"/>
          <w:lang w:eastAsia="uk-UA"/>
        </w:rPr>
        <w:t>: </w:t>
      </w:r>
      <w:hyperlink r:id="rId7" w:tooltip="Opens window for sending email" w:history="1">
        <w:r>
          <w:rPr>
            <w:rFonts w:asciiTheme="majorHAnsi" w:eastAsia="Times New Roman" w:hAnsiTheme="majorHAnsi" w:cs="Arial"/>
            <w:bCs/>
            <w:sz w:val="28"/>
            <w:szCs w:val="28"/>
            <w:u w:val="single"/>
            <w:lang w:eastAsia="uk-UA"/>
          </w:rPr>
          <w:t>info@zhovkva-rada.gov.ua</w:t>
        </w:r>
      </w:hyperlink>
      <w:r>
        <w:rPr>
          <w:rFonts w:asciiTheme="majorHAnsi" w:hAnsiTheme="majorHAnsi" w:cstheme="minorHAnsi"/>
          <w:sz w:val="28"/>
          <w:szCs w:val="28"/>
        </w:rPr>
        <w:t>).</w:t>
      </w:r>
      <w:r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BC5077">
        <w:rPr>
          <w:rFonts w:asciiTheme="majorHAnsi" w:hAnsiTheme="majorHAnsi" w:cstheme="minorHAnsi"/>
          <w:b/>
          <w:sz w:val="28"/>
          <w:szCs w:val="28"/>
        </w:rPr>
        <w:t>Заступник начальника управління просторового розвитку та земельних ресурсів - Василенко Володимир Олегович 380325221264.</w:t>
      </w:r>
      <w:r>
        <w:rPr>
          <w:rFonts w:asciiTheme="majorHAnsi" w:hAnsiTheme="majorHAnsi" w:cstheme="minorHAnsi"/>
          <w:b/>
          <w:color w:val="FF0000"/>
          <w:sz w:val="28"/>
          <w:szCs w:val="28"/>
        </w:rPr>
        <w:t xml:space="preserve"> </w:t>
      </w:r>
    </w:p>
    <w:p w14:paraId="777FF3AE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textAlignment w:val="baselin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Строк подання зауважень</w:t>
      </w:r>
      <w:r>
        <w:rPr>
          <w:rFonts w:asciiTheme="majorHAnsi" w:hAnsiTheme="majorHAnsi"/>
          <w:sz w:val="28"/>
          <w:szCs w:val="28"/>
        </w:rPr>
        <w:t xml:space="preserve"> і пропозицій становить 10 днів з дня внесення до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Єдиного реєстру стратегічної екологічної оцінки документу державного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планування (відповідно до частин 5 та 6 статті 10 Закону України «Про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стратегічну екологічну оцінку»).</w:t>
      </w:r>
      <w:r>
        <w:rPr>
          <w:rFonts w:asciiTheme="majorHAnsi" w:hAnsiTheme="majorHAnsi"/>
          <w:sz w:val="28"/>
          <w:szCs w:val="28"/>
        </w:rPr>
        <w:t xml:space="preserve"> З 07.02.2025 по 17.02.2025 включно.</w:t>
      </w:r>
    </w:p>
    <w:p w14:paraId="1B65C884" w14:textId="77777777" w:rsidR="004456CE" w:rsidRDefault="004456CE">
      <w:pPr>
        <w:tabs>
          <w:tab w:val="left" w:pos="567"/>
          <w:tab w:val="left" w:pos="1134"/>
        </w:tabs>
        <w:spacing w:after="0"/>
        <w:ind w:firstLine="567"/>
        <w:jc w:val="both"/>
        <w:textAlignment w:val="baseline"/>
        <w:rPr>
          <w:rFonts w:asciiTheme="majorHAnsi" w:hAnsiTheme="majorHAnsi"/>
          <w:sz w:val="28"/>
          <w:szCs w:val="28"/>
        </w:rPr>
      </w:pPr>
    </w:p>
    <w:p w14:paraId="5910C077" w14:textId="77777777" w:rsidR="004456CE" w:rsidRDefault="00D54C78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textAlignment w:val="baseline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Повідомлення про оприлюднення Заяви про визначення обсягу СЕО: </w:t>
      </w:r>
    </w:p>
    <w:p w14:paraId="08E71A2E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textAlignment w:val="baseline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Офіційний сайт Жовківської міської ради </w:t>
      </w:r>
      <w:hyperlink r:id="rId8" w:history="1">
        <w:r>
          <w:rPr>
            <w:rStyle w:val="a3"/>
            <w:rFonts w:asciiTheme="majorHAnsi" w:hAnsiTheme="majorHAnsi"/>
            <w:sz w:val="28"/>
            <w:szCs w:val="28"/>
          </w:rPr>
          <w:t>https://zhovkva-rada.gov.ua/golovna.html</w:t>
        </w:r>
      </w:hyperlink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/ </w:t>
      </w:r>
      <w:r>
        <w:rPr>
          <w:rFonts w:asciiTheme="majorHAnsi" w:hAnsiTheme="majorHAnsi"/>
          <w:b/>
          <w:bCs/>
          <w:sz w:val="28"/>
          <w:szCs w:val="28"/>
        </w:rPr>
        <w:t>07.</w:t>
      </w:r>
      <w:r>
        <w:rPr>
          <w:rFonts w:asciiTheme="majorHAnsi" w:hAnsiTheme="majorHAnsi"/>
          <w:b/>
          <w:bCs/>
          <w:sz w:val="28"/>
          <w:szCs w:val="28"/>
        </w:rPr>
        <w:t>02.2025</w:t>
      </w:r>
    </w:p>
    <w:p w14:paraId="61EDD1B0" w14:textId="77777777" w:rsidR="004456CE" w:rsidRDefault="004456CE">
      <w:pPr>
        <w:tabs>
          <w:tab w:val="left" w:pos="567"/>
          <w:tab w:val="left" w:pos="1134"/>
        </w:tabs>
        <w:spacing w:after="0"/>
        <w:ind w:firstLine="567"/>
        <w:jc w:val="both"/>
        <w:textAlignment w:val="baseline"/>
        <w:rPr>
          <w:rFonts w:asciiTheme="majorHAnsi" w:hAnsiTheme="majorHAnsi"/>
          <w:b/>
          <w:color w:val="FF0000"/>
          <w:sz w:val="28"/>
          <w:szCs w:val="28"/>
        </w:rPr>
      </w:pPr>
    </w:p>
    <w:p w14:paraId="1CD8F77D" w14:textId="77777777" w:rsidR="004456CE" w:rsidRDefault="00D54C78">
      <w:pPr>
        <w:tabs>
          <w:tab w:val="left" w:pos="567"/>
          <w:tab w:val="left" w:pos="1134"/>
        </w:tabs>
        <w:spacing w:after="0"/>
        <w:ind w:firstLine="567"/>
        <w:jc w:val="both"/>
        <w:textAlignment w:val="baseline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Замовник/Уповноважена особа замовника:</w:t>
      </w:r>
    </w:p>
    <w:p w14:paraId="308E5996" w14:textId="6AFE720B" w:rsidR="004456CE" w:rsidRDefault="00D54C78">
      <w:pPr>
        <w:tabs>
          <w:tab w:val="left" w:pos="567"/>
          <w:tab w:val="left" w:pos="1134"/>
        </w:tabs>
        <w:spacing w:after="0"/>
        <w:ind w:firstLine="567"/>
        <w:rPr>
          <w:rFonts w:asciiTheme="majorHAnsi" w:hAnsiTheme="majorHAnsi" w:cstheme="minorHAnsi"/>
          <w:sz w:val="28"/>
          <w:szCs w:val="28"/>
          <w:lang w:val="ru-RU"/>
        </w:rPr>
      </w:pPr>
      <w:r>
        <w:rPr>
          <w:rFonts w:asciiTheme="majorHAnsi" w:hAnsiTheme="majorHAnsi" w:cstheme="minorHAnsi"/>
          <w:sz w:val="28"/>
          <w:szCs w:val="28"/>
        </w:rPr>
        <w:t>Управління просторового розвитку та земельних ресурсів Жовківської міської ради Львівського району Львівської області</w:t>
      </w:r>
      <w:r>
        <w:rPr>
          <w:rFonts w:asciiTheme="majorHAnsi" w:hAnsiTheme="majorHAnsi" w:cstheme="minorHAnsi"/>
          <w:sz w:val="28"/>
          <w:szCs w:val="28"/>
          <w:lang w:val="ru-RU"/>
        </w:rPr>
        <w:t xml:space="preserve">/ </w:t>
      </w:r>
      <w:r w:rsidR="00BC5077">
        <w:rPr>
          <w:rFonts w:asciiTheme="majorHAnsi" w:hAnsiTheme="majorHAnsi" w:cstheme="minorHAnsi"/>
          <w:sz w:val="28"/>
          <w:szCs w:val="28"/>
          <w:lang w:val="ru-RU"/>
        </w:rPr>
        <w:t xml:space="preserve">Василенко </w:t>
      </w:r>
      <w:proofErr w:type="spellStart"/>
      <w:r w:rsidR="00BC5077">
        <w:rPr>
          <w:rFonts w:asciiTheme="majorHAnsi" w:hAnsiTheme="majorHAnsi" w:cstheme="minorHAnsi"/>
          <w:sz w:val="28"/>
          <w:szCs w:val="28"/>
          <w:lang w:val="ru-RU"/>
        </w:rPr>
        <w:t>Володимир</w:t>
      </w:r>
      <w:proofErr w:type="spellEnd"/>
      <w:r w:rsidR="00BC5077">
        <w:rPr>
          <w:rFonts w:asciiTheme="majorHAnsi" w:hAnsiTheme="majorHAnsi" w:cstheme="minorHAnsi"/>
          <w:sz w:val="28"/>
          <w:szCs w:val="28"/>
          <w:lang w:val="ru-RU"/>
        </w:rPr>
        <w:t xml:space="preserve"> Олегович</w:t>
      </w:r>
    </w:p>
    <w:p w14:paraId="5A53EE8C" w14:textId="77777777" w:rsidR="004456CE" w:rsidRDefault="004456CE">
      <w:pPr>
        <w:tabs>
          <w:tab w:val="left" w:pos="567"/>
          <w:tab w:val="left" w:pos="1134"/>
        </w:tabs>
        <w:spacing w:after="0"/>
        <w:ind w:left="360"/>
        <w:jc w:val="both"/>
        <w:textAlignment w:val="baseline"/>
        <w:rPr>
          <w:rFonts w:asciiTheme="majorHAnsi" w:hAnsiTheme="majorHAnsi" w:cstheme="minorHAnsi"/>
          <w:sz w:val="24"/>
          <w:szCs w:val="24"/>
        </w:rPr>
      </w:pPr>
    </w:p>
    <w:p w14:paraId="62004404" w14:textId="77777777" w:rsidR="004456CE" w:rsidRDefault="004456CE">
      <w:pPr>
        <w:spacing w:after="0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5CDF6CC0" w14:textId="77777777" w:rsidR="004456CE" w:rsidRDefault="004456CE">
      <w:pPr>
        <w:spacing w:after="0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095780F8" w14:textId="77777777" w:rsidR="004456CE" w:rsidRDefault="004456CE">
      <w:pPr>
        <w:pStyle w:val="a4"/>
        <w:spacing w:after="0"/>
      </w:pPr>
    </w:p>
    <w:sectPr w:rsidR="004456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4E74" w14:textId="77777777" w:rsidR="00D54C78" w:rsidRDefault="00D54C78">
      <w:pPr>
        <w:spacing w:line="240" w:lineRule="auto"/>
      </w:pPr>
      <w:r>
        <w:separator/>
      </w:r>
    </w:p>
  </w:endnote>
  <w:endnote w:type="continuationSeparator" w:id="0">
    <w:p w14:paraId="753BE0D3" w14:textId="77777777" w:rsidR="00D54C78" w:rsidRDefault="00D54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926B" w14:textId="77777777" w:rsidR="00D54C78" w:rsidRDefault="00D54C78">
      <w:pPr>
        <w:spacing w:after="0"/>
      </w:pPr>
      <w:r>
        <w:separator/>
      </w:r>
    </w:p>
  </w:footnote>
  <w:footnote w:type="continuationSeparator" w:id="0">
    <w:p w14:paraId="52D81312" w14:textId="77777777" w:rsidR="00D54C78" w:rsidRDefault="00D54C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F51E4"/>
    <w:multiLevelType w:val="multilevel"/>
    <w:tmpl w:val="668F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7AA"/>
    <w:rsid w:val="000C7604"/>
    <w:rsid w:val="002F0155"/>
    <w:rsid w:val="004456CE"/>
    <w:rsid w:val="00453399"/>
    <w:rsid w:val="00467EF0"/>
    <w:rsid w:val="007C02DB"/>
    <w:rsid w:val="008145F0"/>
    <w:rsid w:val="00B55D00"/>
    <w:rsid w:val="00BC5077"/>
    <w:rsid w:val="00C737AA"/>
    <w:rsid w:val="00D54C78"/>
    <w:rsid w:val="4BE816DC"/>
    <w:rsid w:val="53772A9C"/>
    <w:rsid w:val="62C6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63E9"/>
  <w15:docId w15:val="{86CB5147-B514-4EDE-BB67-F212945F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">
    <w:name w:val="heading 5"/>
    <w:next w:val="a"/>
    <w:uiPriority w:val="9"/>
    <w:semiHidden/>
    <w:unhideWhenUsed/>
    <w:qFormat/>
    <w:pPr>
      <w:spacing w:beforeAutospacing="1" w:afterAutospacing="1"/>
      <w:outlineLvl w:val="4"/>
    </w:pPr>
    <w:rPr>
      <w:rFonts w:ascii="SimSun" w:hAnsi="SimSun" w:hint="eastAsia"/>
      <w:b/>
      <w:bCs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a5">
    <w:name w:val="проект текст Т"/>
    <w:basedOn w:val="a"/>
    <w:link w:val="a6"/>
    <w:qFormat/>
    <w:pPr>
      <w:suppressAutoHyphens/>
      <w:overflowPunct w:val="0"/>
      <w:autoSpaceDE w:val="0"/>
      <w:autoSpaceDN w:val="0"/>
      <w:adjustRightInd w:val="0"/>
      <w:spacing w:after="60" w:line="240" w:lineRule="auto"/>
      <w:ind w:left="568" w:right="548" w:firstLine="567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zh-CN" w:eastAsia="ru-RU"/>
    </w:rPr>
  </w:style>
  <w:style w:type="character" w:customStyle="1" w:styleId="a6">
    <w:name w:val="проект текст Т Знак"/>
    <w:link w:val="a5"/>
    <w:qFormat/>
    <w:locked/>
    <w:rPr>
      <w:rFonts w:ascii="Times New Roman" w:eastAsia="Times New Roman" w:hAnsi="Times New Roman" w:cs="Times New Roman"/>
      <w:color w:val="000000"/>
      <w:sz w:val="24"/>
      <w:szCs w:val="20"/>
      <w:lang w:val="zh-CN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vkva-rada.gov.ua/golov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linkTo_UnCryptMailto('jxfiql7fkclXwelshsx:oxax+dls+rx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6529</Words>
  <Characters>3722</Characters>
  <Application>Microsoft Office Word</Application>
  <DocSecurity>0</DocSecurity>
  <Lines>31</Lines>
  <Paragraphs>20</Paragraphs>
  <ScaleCrop>false</ScaleCrop>
  <Company>SPecialiST RePack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38093</dc:creator>
  <cp:lastModifiedBy>Admin</cp:lastModifiedBy>
  <cp:revision>4</cp:revision>
  <dcterms:created xsi:type="dcterms:W3CDTF">2025-02-05T13:22:00Z</dcterms:created>
  <dcterms:modified xsi:type="dcterms:W3CDTF">2025-02-07T12:17:00Z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80DB9E71EE714E1EA2BF5D03AFA0A770_12</vt:lpwstr>
  </property>
</Properties>
</file>